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768CDD">
      <w:pPr>
        <w:spacing w:line="560" w:lineRule="exact"/>
        <w:jc w:val="center"/>
        <w:rPr>
          <w:rFonts w:ascii="方正大标宋简体" w:hAnsi="方正大标宋简体" w:eastAsia="方正大标宋简体" w:cs="方正大标宋简体"/>
          <w:b/>
          <w:sz w:val="36"/>
          <w:szCs w:val="36"/>
        </w:rPr>
      </w:pPr>
      <w:r>
        <w:rPr>
          <w:rFonts w:hint="eastAsia" w:ascii="方正大标宋简体" w:hAnsi="方正大标宋简体" w:eastAsia="方正大标宋简体" w:cs="方正大标宋简体"/>
          <w:b/>
          <w:sz w:val="36"/>
          <w:szCs w:val="36"/>
        </w:rPr>
        <w:t>江苏江阴农村商业银行股份有限公司</w:t>
      </w:r>
    </w:p>
    <w:p w14:paraId="0CECB924">
      <w:pPr>
        <w:spacing w:line="560" w:lineRule="exact"/>
        <w:jc w:val="center"/>
        <w:rPr>
          <w:rFonts w:ascii="方正大标宋简体" w:hAnsi="方正大标宋简体" w:eastAsia="方正大标宋简体" w:cs="方正大标宋简体"/>
          <w:b/>
          <w:bCs/>
          <w:sz w:val="36"/>
          <w:szCs w:val="36"/>
        </w:rPr>
      </w:pPr>
      <w:r>
        <w:rPr>
          <w:rFonts w:hint="eastAsia" w:ascii="方正大标宋简体" w:hAnsi="方正大标宋简体" w:eastAsia="方正大标宋简体" w:cs="方正大标宋简体"/>
          <w:b/>
          <w:sz w:val="36"/>
          <w:szCs w:val="36"/>
        </w:rPr>
        <w:t>投资者关系管理办法</w:t>
      </w:r>
    </w:p>
    <w:p w14:paraId="390FEBAA">
      <w:pPr>
        <w:tabs>
          <w:tab w:val="left" w:pos="7560"/>
        </w:tabs>
        <w:ind w:right="-96"/>
        <w:jc w:val="center"/>
        <w:rPr>
          <w:rFonts w:ascii="黑体" w:hAnsi="黑体" w:eastAsia="黑体" w:cs="黑体"/>
          <w:sz w:val="32"/>
          <w:szCs w:val="32"/>
        </w:rPr>
      </w:pPr>
    </w:p>
    <w:p w14:paraId="0E1F144F">
      <w:pPr>
        <w:tabs>
          <w:tab w:val="left" w:pos="7560"/>
        </w:tabs>
        <w:ind w:right="-96"/>
        <w:jc w:val="center"/>
        <w:rPr>
          <w:rFonts w:ascii="黑体" w:hAnsi="黑体" w:eastAsia="黑体" w:cs="黑体"/>
          <w:sz w:val="32"/>
          <w:szCs w:val="32"/>
        </w:rPr>
      </w:pPr>
      <w:r>
        <w:rPr>
          <w:rFonts w:hint="eastAsia" w:ascii="黑体" w:hAnsi="黑体" w:eastAsia="黑体" w:cs="黑体"/>
          <w:sz w:val="32"/>
          <w:szCs w:val="32"/>
        </w:rPr>
        <w:t>第一章 总 则</w:t>
      </w:r>
    </w:p>
    <w:p w14:paraId="731280AF">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第一条</w:t>
      </w:r>
      <w:r>
        <w:rPr>
          <w:rFonts w:hint="eastAsia" w:ascii="仿宋_GB2312" w:hAnsi="仿宋_GB2312" w:eastAsia="仿宋_GB2312" w:cs="仿宋_GB2312"/>
          <w:sz w:val="28"/>
          <w:szCs w:val="28"/>
        </w:rPr>
        <w:t xml:space="preserve"> 为了进一步规范和加强江苏江阴农村商业银行股份有限公司（以下简称“本行”）与投资者及潜在投资者（以下统称“投资者”）之间的信息沟通，促进投资者对本行的了解，建立本行与投资者的良性互动关系，根据《中华人民共和国公司法》、《中华人民共和国证券法》、中国证券监督管理委员会《上市公司投资者关系管理工作指引》、《深圳证券交易所股票上市规则》等法律、法规、规范性文件以及《江苏江阴农村商业银行股份有限公司章程》（以下简称“《本行章程》”）等有关规定，结合本行实际情况，制定本办法。</w:t>
      </w:r>
    </w:p>
    <w:p w14:paraId="01B23091">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第二条</w:t>
      </w:r>
      <w:r>
        <w:rPr>
          <w:rFonts w:hint="eastAsia" w:ascii="仿宋_GB2312" w:hAnsi="仿宋_GB2312" w:eastAsia="仿宋_GB2312" w:cs="仿宋_GB2312"/>
          <w:sz w:val="28"/>
          <w:szCs w:val="28"/>
        </w:rPr>
        <w:t xml:space="preserve"> 投资者关系管理是指本行通过便利股东权利行使、信息披露、互动交流和诉求处理等工作，加强与投资者及潜在投资者之间的沟通，增进投资者对上市公司的了解和认同，以提升上市公司治理水平和企业整体价值，实现尊重投资者、回报投资者、保护投资者目的的相关活动。</w:t>
      </w:r>
    </w:p>
    <w:p w14:paraId="2FA8A211">
      <w:pPr>
        <w:tabs>
          <w:tab w:val="left" w:pos="7560"/>
        </w:tabs>
        <w:ind w:right="-96"/>
        <w:jc w:val="center"/>
        <w:rPr>
          <w:rFonts w:ascii="黑体" w:hAnsi="黑体" w:eastAsia="黑体" w:cs="黑体"/>
          <w:sz w:val="32"/>
          <w:szCs w:val="32"/>
        </w:rPr>
      </w:pPr>
      <w:r>
        <w:rPr>
          <w:rFonts w:hint="eastAsia" w:ascii="黑体" w:hAnsi="黑体" w:eastAsia="黑体" w:cs="黑体"/>
          <w:sz w:val="32"/>
          <w:szCs w:val="32"/>
        </w:rPr>
        <w:t>第二章 管理原则与目标</w:t>
      </w:r>
    </w:p>
    <w:p w14:paraId="61B68E06">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第三条</w:t>
      </w:r>
      <w:r>
        <w:rPr>
          <w:rFonts w:hint="eastAsia" w:ascii="仿宋_GB2312" w:hAnsi="仿宋_GB2312" w:eastAsia="仿宋_GB2312" w:cs="仿宋_GB2312"/>
          <w:sz w:val="28"/>
          <w:szCs w:val="28"/>
        </w:rPr>
        <w:t xml:space="preserve"> 投资者关系管理的基本原则：</w:t>
      </w:r>
    </w:p>
    <w:p w14:paraId="0584A53F">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（一）合规性原则。本行投资者关系管理应当在依法履行信息披露义务的基础上开展，符合法律、法规、规章及规范性文件、行业规范和自律规则、公司内部规章制度，以及行业普遍遵守的道德规范和行为准则。</w:t>
      </w:r>
    </w:p>
    <w:p w14:paraId="7DFE4266">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（二）平等性原则。本行开展投资者关系管理活动，应当平等对待所有投资者，尤其为中小投资者参与活动创造机会、提供便利。</w:t>
      </w:r>
    </w:p>
    <w:p w14:paraId="3F65442D">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（三）主动性原则。本行应当主动开展投资者关系管理活动，听取投资者意见建议，及时回应投资者诉求。</w:t>
      </w:r>
    </w:p>
    <w:p w14:paraId="4BB745FC">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（四）诚实守信原则。本行在投资者关系管理活动中应当注重诚信、坚守底线、规范运作、担当责任，营造健康良好的市场生态。</w:t>
      </w:r>
    </w:p>
    <w:p w14:paraId="78A6BAC6">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第四条</w:t>
      </w:r>
      <w:r>
        <w:rPr>
          <w:rFonts w:hint="eastAsia" w:ascii="仿宋_GB2312" w:hAnsi="仿宋_GB2312" w:eastAsia="仿宋_GB2312" w:cs="仿宋_GB2312"/>
          <w:sz w:val="28"/>
          <w:szCs w:val="28"/>
        </w:rPr>
        <w:t xml:space="preserve"> 投资者关系管理的目标：</w:t>
      </w:r>
    </w:p>
    <w:p w14:paraId="5802C417">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(一)促进本行与投资者之间的良性关系，增进投资者对本行的了解和熟悉；</w:t>
      </w:r>
    </w:p>
    <w:p w14:paraId="520132E4">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(二)建立稳定和优质的投资者基础，获得长期的市场支持；</w:t>
      </w:r>
    </w:p>
    <w:p w14:paraId="53F54454">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(三)形成尊重投资者、服务投资者的企业文化；</w:t>
      </w:r>
    </w:p>
    <w:p w14:paraId="6D48CF81">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(四)提高本行信息披露透明度，以改善本行治理；</w:t>
      </w:r>
    </w:p>
    <w:p w14:paraId="7510C988">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(五)促进本行整体利益最大化和股东财富增长并举的投资理念；</w:t>
      </w:r>
    </w:p>
    <w:p w14:paraId="5803FAC3">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(六)充分考虑多元利益主体诉求，落实本行可持续发展的</w:t>
      </w:r>
      <w:r>
        <w:rPr>
          <w:rFonts w:hint="eastAsia" w:ascii="仿宋_GB2312" w:hAnsi="仿宋_GB2312" w:eastAsia="仿宋_GB2312" w:cs="仿宋_GB2312"/>
          <w:sz w:val="28"/>
          <w:szCs w:val="28"/>
          <w:lang w:eastAsia="zh-CN"/>
        </w:rPr>
        <w:t>公司</w:t>
      </w:r>
      <w:bookmarkStart w:id="0" w:name="_GoBack"/>
      <w:bookmarkEnd w:id="0"/>
      <w:r>
        <w:rPr>
          <w:rFonts w:hint="eastAsia" w:ascii="仿宋_GB2312" w:hAnsi="仿宋_GB2312" w:eastAsia="仿宋_GB2312" w:cs="仿宋_GB2312"/>
          <w:sz w:val="28"/>
          <w:szCs w:val="28"/>
        </w:rPr>
        <w:t>治理理念。</w:t>
      </w:r>
    </w:p>
    <w:p w14:paraId="2A0B1205">
      <w:pPr>
        <w:tabs>
          <w:tab w:val="left" w:pos="7560"/>
        </w:tabs>
        <w:ind w:right="-96"/>
        <w:jc w:val="center"/>
        <w:rPr>
          <w:rFonts w:ascii="仿宋_GB2312" w:hAnsi="仿宋_GB2312" w:eastAsia="仿宋_GB2312" w:cs="仿宋_GB2312"/>
          <w:sz w:val="28"/>
          <w:szCs w:val="28"/>
        </w:rPr>
      </w:pPr>
      <w:r>
        <w:rPr>
          <w:rFonts w:hint="eastAsia" w:ascii="黑体" w:hAnsi="黑体" w:eastAsia="黑体" w:cs="黑体"/>
          <w:sz w:val="32"/>
          <w:szCs w:val="32"/>
        </w:rPr>
        <w:t>第三章 工作对象和内容</w:t>
      </w:r>
    </w:p>
    <w:p w14:paraId="402602A8">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第五条</w:t>
      </w:r>
      <w:r>
        <w:rPr>
          <w:rFonts w:hint="eastAsia" w:ascii="仿宋_GB2312" w:hAnsi="仿宋_GB2312" w:eastAsia="仿宋_GB2312" w:cs="仿宋_GB2312"/>
          <w:sz w:val="28"/>
          <w:szCs w:val="28"/>
        </w:rPr>
        <w:t xml:space="preserve"> 投资者关系管理的工作对象包括：投资者，证券分析师，证券公司、证券经纪人等企业融资顾问，财经媒体与公关顾问，其他相关机构与个人。</w:t>
      </w:r>
    </w:p>
    <w:p w14:paraId="027B8F41">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第六条</w:t>
      </w:r>
      <w:r>
        <w:rPr>
          <w:rFonts w:hint="eastAsia" w:ascii="仿宋_GB2312" w:hAnsi="仿宋_GB2312" w:eastAsia="仿宋_GB2312" w:cs="仿宋_GB2312"/>
          <w:sz w:val="28"/>
          <w:szCs w:val="28"/>
        </w:rPr>
        <w:t xml:space="preserve"> 投资者关系管理中与投资者沟通的内容主要包括：</w:t>
      </w:r>
    </w:p>
    <w:p w14:paraId="02DED9D0">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（一）本行的发展战略，包括本行的发展方向、发展规划、竞争战略和经营方针等；</w:t>
      </w:r>
    </w:p>
    <w:p w14:paraId="111EB30F">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（二）法定信息披露及其说明，包括定期报告和临时公告等；</w:t>
      </w:r>
    </w:p>
    <w:p w14:paraId="71C8D75F">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（三）本行依法可以披露的经营管理信息，包括经营状况、财务状况、经营业绩、股利分配等；</w:t>
      </w:r>
    </w:p>
    <w:p w14:paraId="640212FE">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（四）本行的环境、社会和治理信息；</w:t>
      </w:r>
    </w:p>
    <w:p w14:paraId="526AA11D">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（五）本行依法可以披露的重大事项，包括本行的重大投资及其变化、资产重组、收购兼并、对外合作、对外担保、重大合同、关联交易、重大诉讼或仲裁、管理层变动以及大股东变化等信息；</w:t>
      </w:r>
    </w:p>
    <w:p w14:paraId="75DF3D6A">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（六）企业文化建设；</w:t>
      </w:r>
    </w:p>
    <w:p w14:paraId="55289CFC">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（七）股东权利行使的方式、途径和程序等；</w:t>
      </w:r>
    </w:p>
    <w:p w14:paraId="39263080">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（八）投资者诉求处理信息；</w:t>
      </w:r>
    </w:p>
    <w:p w14:paraId="780BDC50">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（九）本行正在或者可能面临的风险和挑战；</w:t>
      </w:r>
    </w:p>
    <w:p w14:paraId="0858486F">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(十)本行的其他相关信息。</w:t>
      </w:r>
    </w:p>
    <w:p w14:paraId="730BD151">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本行以及董事、监事、高级管理人员和工作人员开展投资者关系管理工作，不得出现以下情形：</w:t>
      </w:r>
    </w:p>
    <w:p w14:paraId="53A33F6E">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(一)透露或通过符合条件媒体以外的方式发布尚未公开披露的重大信息；</w:t>
      </w:r>
    </w:p>
    <w:p w14:paraId="437B2CB8">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(二)发布含有虚假或者引人误解的内容，作出夸大性宣传、误导性提示；</w:t>
      </w:r>
    </w:p>
    <w:p w14:paraId="7271C52D">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(三)对本行股票及其衍生产品价格作出预期或者承诺；</w:t>
      </w:r>
    </w:p>
    <w:p w14:paraId="43F9BD35">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(四)歧视、轻视等不公平对待中小股东的行为；</w:t>
      </w:r>
    </w:p>
    <w:p w14:paraId="1EFB7C32">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(五)其他违反信息披露规则或者涉嫌操纵证券市场、内幕交易等违法违规行为。</w:t>
      </w:r>
    </w:p>
    <w:p w14:paraId="5251E939">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第七条</w:t>
      </w:r>
      <w:r>
        <w:rPr>
          <w:rFonts w:hint="eastAsia" w:ascii="仿宋_GB2312" w:hAnsi="仿宋_GB2312" w:eastAsia="仿宋_GB2312" w:cs="仿宋_GB2312"/>
          <w:sz w:val="28"/>
          <w:szCs w:val="28"/>
        </w:rPr>
        <w:t xml:space="preserve"> 本行可以通过本行官方网站、深圳证券交易所（以下简称“深交所”）网站和深交所投资者关系互动平台（以下简称“互动易平台”）、新媒体平台、电话、传真、邮箱、投资者教育基地等渠道，利用中国投资者网和证券交易所、证券登记结算机构等的网络基础设施平台，采取股东大会、投资者说明会、路演、投资者调研、证券分析师调研等形式，建立与投资者的重大事件沟通机制。</w:t>
      </w:r>
    </w:p>
    <w:p w14:paraId="59430063">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本行应当加强投资者网络沟通渠道的建设和运维，在本行官网开设投资者关系专栏，收集和答复投资者的咨询、投诉和建议等诉求，及时发布和更新投资者关系管理相关信息。</w:t>
      </w:r>
    </w:p>
    <w:p w14:paraId="26CF7AEE">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第八条</w:t>
      </w:r>
      <w:r>
        <w:rPr>
          <w:rFonts w:hint="eastAsia" w:ascii="仿宋_GB2312" w:hAnsi="仿宋_GB2312" w:eastAsia="仿宋_GB2312" w:cs="仿宋_GB2312"/>
          <w:sz w:val="28"/>
          <w:szCs w:val="28"/>
        </w:rPr>
        <w:t xml:space="preserve"> 本行在投资者说明会、业绩说明会、分析师会议、路演等投资者关系活动结束后应当及时编制投资者关系活动记录表，并及时在互动易平台和本行网站（如有）刊载。活动记录表至少应当包括以下内容：</w:t>
      </w:r>
    </w:p>
    <w:p w14:paraId="42FA6BEB">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（一）活动参与人员、时间、地点、形式； </w:t>
      </w:r>
    </w:p>
    <w:p w14:paraId="120ECAA1">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（二）交流内容及具体问答记录； </w:t>
      </w:r>
    </w:p>
    <w:p w14:paraId="2CEA5A89">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（三）关于本次活动是否涉及应披露重大信息的说明； </w:t>
      </w:r>
    </w:p>
    <w:p w14:paraId="5E1F4C38">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（四）活动过程中所使用的演示文稿、提供的文档等附件（如有）； </w:t>
      </w:r>
    </w:p>
    <w:p w14:paraId="77FAEF7C">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（五）深交所要求的其他内容。</w:t>
      </w:r>
    </w:p>
    <w:p w14:paraId="4891F413">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第九条</w:t>
      </w:r>
      <w:r>
        <w:rPr>
          <w:rFonts w:hint="eastAsia" w:ascii="仿宋_GB2312" w:hAnsi="仿宋_GB2312" w:eastAsia="仿宋_GB2312" w:cs="仿宋_GB2312"/>
          <w:sz w:val="28"/>
          <w:szCs w:val="28"/>
        </w:rPr>
        <w:t xml:space="preserve"> 存在下列情形的，本行应当及时召开投资者说明会：</w:t>
      </w:r>
    </w:p>
    <w:p w14:paraId="45F0F045">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（一）本行当年现金分红水平未达相关规定，需要说明原因的； </w:t>
      </w:r>
    </w:p>
    <w:p w14:paraId="67AF558A">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（二）本行在披露重组预案或重组报告书后终止重组的； </w:t>
      </w:r>
    </w:p>
    <w:p w14:paraId="76DB9D07">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（三）本行股票交易出现相关规则规定的异常波动，本行核查后发现存在未披露重大事件的； </w:t>
      </w:r>
    </w:p>
    <w:p w14:paraId="178D1B62">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（四）本行相关重大事件受到市场高度关注或质疑的； </w:t>
      </w:r>
    </w:p>
    <w:p w14:paraId="40CF1D08">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（五）本行在年度报告披露后，按照中国证监会和深交所相关规定应当召开年度报告业绩说明会的； </w:t>
      </w:r>
    </w:p>
    <w:p w14:paraId="7C249599">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（六）其他按照中国证监会和深交所规定应当召开投资者说明会的情形。</w:t>
      </w:r>
    </w:p>
    <w:p w14:paraId="228B4A45">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第十条</w:t>
      </w:r>
      <w:r>
        <w:rPr>
          <w:rFonts w:hint="eastAsia" w:ascii="仿宋_GB2312" w:hAnsi="仿宋_GB2312" w:eastAsia="仿宋_GB2312" w:cs="仿宋_GB2312"/>
          <w:sz w:val="28"/>
          <w:szCs w:val="28"/>
        </w:rPr>
        <w:t xml:space="preserve"> 本行及其控股股东、实际控制人、董事、监事、高级管理人员及其他员工在接受调研前，应当知会董事会秘书，原则上董事会秘书应当全程参加。</w:t>
      </w:r>
    </w:p>
    <w:p w14:paraId="3156B3C3">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本行应当就调研过程和交流内容形成书面调研记录，参加调研的人员和董事会秘书应当签字确认。具备条件的，可以对调研过程进行录音录像。</w:t>
      </w:r>
    </w:p>
    <w:p w14:paraId="07B1104F">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本行应当建立接受调研的事后核实程序，明确未公开重大信息被泄露的应对措施和处理流程，要求调研机构及个人将基于交流沟通形成的投资价值分析报告等研究报告、新闻稿等文件在发布或者使用前知会本行。</w:t>
      </w:r>
    </w:p>
    <w:p w14:paraId="4C08AE18">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第十一条</w:t>
      </w:r>
      <w:r>
        <w:rPr>
          <w:rFonts w:hint="eastAsia" w:ascii="仿宋_GB2312" w:hAnsi="仿宋_GB2312" w:eastAsia="仿宋_GB2312" w:cs="仿宋_GB2312"/>
          <w:sz w:val="28"/>
          <w:szCs w:val="28"/>
        </w:rPr>
        <w:t xml:space="preserve"> 本行在互动易平台发布信息的，应当谨慎、客观，以事实为依据，保证所发布信息的真实、准确、完整和公平，不得使用夸大性、宣传性、误导性语言，不得误导投资者，并充分提示相关事项可能存在的重大不确定性和风险。</w:t>
      </w:r>
    </w:p>
    <w:p w14:paraId="4BF11AD2">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本行信息披露以其通过符合条件媒体披露的内容为准，在互动易平台发布的信息不得与依法披露的信息相冲突。</w:t>
      </w:r>
    </w:p>
    <w:p w14:paraId="09B0E380">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行在互动易平台发布信息及对涉及市场热点概念、敏感事项问题进行答复，应当谨慎、客观、具有事实依据，不得利用互动易平台迎合市场热点或者与市场热点不当关联，不得故意夸大相关事项对本行生产、经营、研发、销售、发展等方面的影响，不当影响本行股票及其衍生品种价格。</w:t>
      </w:r>
    </w:p>
    <w:p w14:paraId="30C172C3">
      <w:pPr>
        <w:tabs>
          <w:tab w:val="left" w:pos="7560"/>
        </w:tabs>
        <w:ind w:right="-96"/>
        <w:jc w:val="center"/>
        <w:rPr>
          <w:rFonts w:ascii="黑体" w:hAnsi="黑体" w:eastAsia="黑体" w:cs="黑体"/>
          <w:sz w:val="32"/>
          <w:szCs w:val="32"/>
        </w:rPr>
      </w:pPr>
      <w:r>
        <w:rPr>
          <w:rFonts w:hint="eastAsia" w:ascii="黑体" w:hAnsi="黑体" w:eastAsia="黑体" w:cs="黑体"/>
          <w:sz w:val="32"/>
          <w:szCs w:val="32"/>
        </w:rPr>
        <w:t>第四章 管理机构和工作职责</w:t>
      </w:r>
    </w:p>
    <w:p w14:paraId="3B05E846">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第十二条</w:t>
      </w:r>
      <w:r>
        <w:rPr>
          <w:rFonts w:hint="eastAsia" w:ascii="仿宋_GB2312" w:hAnsi="仿宋_GB2312" w:eastAsia="仿宋_GB2312" w:cs="仿宋_GB2312"/>
          <w:sz w:val="28"/>
          <w:szCs w:val="28"/>
        </w:rPr>
        <w:t xml:space="preserve"> 董事会秘书为本行投资者关系管理负责人，投资者关系管理工作由董事会办公室主办，各相关部门协助办理。除非得到明确授权并经过培训，本行其他董事、监事、高级管理人员和员工应当避免在投资者关系活动中代表本行发言。董事会办公室相关工作人员可以列席本行战略研讨、经营管理、预算编制等相关会议，了解本行的经营和财务情况，向本行有关机构问询并要求提供相关资料和信息。</w:t>
      </w:r>
    </w:p>
    <w:p w14:paraId="2C0296D0">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第十三条</w:t>
      </w:r>
      <w:r>
        <w:rPr>
          <w:rFonts w:hint="eastAsia" w:ascii="仿宋_GB2312" w:hAnsi="仿宋_GB2312" w:eastAsia="仿宋_GB2312" w:cs="仿宋_GB2312"/>
          <w:sz w:val="28"/>
          <w:szCs w:val="28"/>
        </w:rPr>
        <w:t xml:space="preserve"> 投资者关系管理工作人员应具备以下任职素质和技能：</w:t>
      </w:r>
    </w:p>
    <w:p w14:paraId="0D63CA9B">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(一)熟悉本行基本情况；</w:t>
      </w:r>
    </w:p>
    <w:p w14:paraId="3CE20A10">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(二)熟悉本行财务、经营成果及风险控制管理等情况；</w:t>
      </w:r>
    </w:p>
    <w:p w14:paraId="5EE483B5">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(三)具备良好的知识结构，熟悉公司治理、财务会计等相关法律法规和证券市场的运作机制；</w:t>
      </w:r>
    </w:p>
    <w:p w14:paraId="1D4B94FD">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(四)具有良好的语言表达、写作、沟通和协调能力；</w:t>
      </w:r>
    </w:p>
    <w:p w14:paraId="4FBBDDF5">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(五)具有良好的品行，诚实信用。</w:t>
      </w:r>
    </w:p>
    <w:p w14:paraId="18C17D95">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第十四条</w:t>
      </w:r>
      <w:r>
        <w:rPr>
          <w:rFonts w:hint="eastAsia" w:ascii="仿宋_GB2312" w:hAnsi="仿宋_GB2312" w:eastAsia="仿宋_GB2312" w:cs="仿宋_GB2312"/>
          <w:sz w:val="28"/>
          <w:szCs w:val="28"/>
        </w:rPr>
        <w:t xml:space="preserve"> 本行以适当的方式定期对本行控股股东、实际控制人、董事、监事、高级管理人员以及投资者关系管理工作人员进行投资者关系相关知识的培训。</w:t>
      </w:r>
    </w:p>
    <w:p w14:paraId="2088787F">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第十五条</w:t>
      </w:r>
      <w:r>
        <w:rPr>
          <w:rFonts w:hint="eastAsia" w:ascii="仿宋_GB2312" w:hAnsi="仿宋_GB2312" w:eastAsia="仿宋_GB2312" w:cs="仿宋_GB2312"/>
          <w:sz w:val="28"/>
          <w:szCs w:val="28"/>
        </w:rPr>
        <w:t xml:space="preserve"> 投资者关系管理的工作职责：</w:t>
      </w:r>
    </w:p>
    <w:p w14:paraId="3CF244D9">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（一）拟定投资者关系管理制度，建立工作机制；</w:t>
      </w:r>
    </w:p>
    <w:p w14:paraId="68AB0811">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（二）组织与投资者沟通联络的投资者关系管理活动；</w:t>
      </w:r>
    </w:p>
    <w:p w14:paraId="658A9B06">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（三）组织及时妥善处理投资者咨询、投诉和建议等诉求，定期反馈给公司董事会以及管理层；</w:t>
      </w:r>
    </w:p>
    <w:p w14:paraId="013E4E68">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（四）管理、运行和维护投资者关系管理的相关渠道和平台；</w:t>
      </w:r>
    </w:p>
    <w:p w14:paraId="23B5815C">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（五）保障投资者依法行使股东权利；</w:t>
      </w:r>
    </w:p>
    <w:p w14:paraId="45268126">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（六）配合支持投资者保护机构开展维护投资者合法权益的相关工作；</w:t>
      </w:r>
    </w:p>
    <w:p w14:paraId="05DDA867">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（七）统计分析公司投资者的数量、构成以及变动等情况；</w:t>
      </w:r>
    </w:p>
    <w:p w14:paraId="775AB16D">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（八）开展有利于改善投资者关系的其他活动。</w:t>
      </w:r>
    </w:p>
    <w:p w14:paraId="6266DF28">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第十六条</w:t>
      </w:r>
      <w:r>
        <w:rPr>
          <w:rFonts w:hint="eastAsia" w:ascii="仿宋_GB2312" w:hAnsi="仿宋_GB2312" w:eastAsia="仿宋_GB2312" w:cs="仿宋_GB2312"/>
          <w:sz w:val="28"/>
          <w:szCs w:val="28"/>
        </w:rPr>
        <w:t xml:space="preserve"> 除依法履行信息披露义务外，本行应当按照中国证监会、证券交易所的规定积极召开投资者说明会，向投资者介绍情况、回答问题、听取建议。投资者说明会包括业绩说明会、现金分红说明会、重大事项说明会等情形。一般情况下董事长或者总经理应当出席投资者说明会，不能出席的应当公开说明原因。</w:t>
      </w:r>
    </w:p>
    <w:p w14:paraId="7CB42D36">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本行召开投资者说明会应当事先公告，事后及时披露说明会情况，具体由各证券交易所规定。投资者说明会应当采取便于投资者参与的方式进行。</w:t>
      </w:r>
    </w:p>
    <w:p w14:paraId="390576A9">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第十七条</w:t>
      </w:r>
      <w:r>
        <w:rPr>
          <w:rFonts w:hint="eastAsia" w:ascii="仿宋_GB2312" w:hAnsi="仿宋_GB2312" w:eastAsia="仿宋_GB2312" w:cs="仿宋_GB2312"/>
          <w:sz w:val="28"/>
          <w:szCs w:val="28"/>
        </w:rPr>
        <w:t xml:space="preserve"> 本行应建立良好的内部协调机制和信息采集制度。各部门、各分支行及控股子公司应及时向董事会办公室提供经营管理、财务、诉讼等信息。</w:t>
      </w:r>
    </w:p>
    <w:p w14:paraId="5D9CDE49">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第十八条</w:t>
      </w:r>
      <w:r>
        <w:rPr>
          <w:rFonts w:hint="eastAsia" w:ascii="仿宋_GB2312" w:hAnsi="仿宋_GB2312" w:eastAsia="仿宋_GB2312" w:cs="仿宋_GB2312"/>
          <w:sz w:val="28"/>
          <w:szCs w:val="28"/>
        </w:rPr>
        <w:t xml:space="preserve"> 本行必要时可聘请专业的投资者关系顾问咨询、策划和处理投资者关系，包括但不限于媒体关系、发展战略、投资者关系相关知识培训、突发事件处理、分析师会议和业绩报告会安排等事务。</w:t>
      </w:r>
    </w:p>
    <w:p w14:paraId="5F1D55DB">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第十九条</w:t>
      </w:r>
      <w:r>
        <w:rPr>
          <w:rFonts w:hint="eastAsia" w:ascii="仿宋_GB2312" w:hAnsi="仿宋_GB2312" w:eastAsia="仿宋_GB2312" w:cs="仿宋_GB2312"/>
          <w:sz w:val="28"/>
          <w:szCs w:val="28"/>
        </w:rPr>
        <w:t xml:space="preserve"> 本行及其控股股东、实际控制人、董事、监事、高级管理人员和工作人员不得在投资者关系管理活动中出现下列情形：</w:t>
      </w:r>
    </w:p>
    <w:p w14:paraId="1290E31E">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（一）透露或者发布尚未公开的重大事件信息，或者与依法披露的信息相冲突的信息；</w:t>
      </w:r>
    </w:p>
    <w:p w14:paraId="2A978212">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（二）透露或者发布含有误导性、虚假性或者夸大性的信息；</w:t>
      </w:r>
    </w:p>
    <w:p w14:paraId="363B9423">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（三）选择性透露或者发布信息，或者存在重大遗漏；</w:t>
      </w:r>
    </w:p>
    <w:p w14:paraId="648A754E">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（四）对公司证券价格作出预测或承诺；</w:t>
      </w:r>
    </w:p>
    <w:p w14:paraId="68A68876">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（五）未得到明确授权的情况下代表公司发言；</w:t>
      </w:r>
    </w:p>
    <w:p w14:paraId="222603DC">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（六）歧视、轻视等不公平对待中小股东或者造成不公平披露的行为；</w:t>
      </w:r>
    </w:p>
    <w:p w14:paraId="6A88FCB0">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（七）违反公序良俗，损害社会公共利益；</w:t>
      </w:r>
    </w:p>
    <w:p w14:paraId="341CC39C">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（八）其他违反信息披露规定，或者影响公司证券及其衍生品种正常交易的违法违规行为。</w:t>
      </w:r>
    </w:p>
    <w:p w14:paraId="73C65443">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第二十条</w:t>
      </w:r>
      <w:r>
        <w:rPr>
          <w:rFonts w:hint="eastAsia" w:ascii="仿宋_GB2312" w:hAnsi="仿宋_GB2312" w:eastAsia="仿宋_GB2312" w:cs="仿宋_GB2312"/>
          <w:sz w:val="28"/>
          <w:szCs w:val="28"/>
        </w:rPr>
        <w:t xml:space="preserve"> 本行应做好投资者关系管理的档案建设工作。开展投资者关系管理各项活动，应当采用文字、图表、声像等方式记录活动情况和交流内容，记入投资者关系管理档案。董事会办公室负责投资者关系管理有关制度、各类分析研究报告、机构投资者和证券分析师档案、投资者关系管理活动的记录等相关内容的档案维护。</w:t>
      </w:r>
    </w:p>
    <w:p w14:paraId="550A0D4F">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本行进行投资者关系活动应建立完备的投资者关系管理档案制度，投资者关系管理档案至少应包括下列内容： </w:t>
      </w:r>
    </w:p>
    <w:p w14:paraId="47C571BF">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（一）投资者关系活动参与人员、时间、地点； </w:t>
      </w:r>
    </w:p>
    <w:p w14:paraId="3D5FC601">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（二）投资者关系活动的交流内容； </w:t>
      </w:r>
    </w:p>
    <w:p w14:paraId="664A2FFE">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（三）未公开重大信息泄密的处理过程及责任追究情况（如有）； </w:t>
      </w:r>
    </w:p>
    <w:p w14:paraId="24CF0768">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（四）其他内容。 </w:t>
      </w:r>
    </w:p>
    <w:p w14:paraId="5FDC507D">
      <w:pPr>
        <w:tabs>
          <w:tab w:val="left" w:pos="7560"/>
        </w:tabs>
        <w:ind w:right="-96"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投资者关系管理档案应当按照投资者关系管理的方式进行分类，将相关记录、现场录音、演示文稿、活动中提供的文档（如有）等文件资料存档并妥善保管，保存期限不得少于3年。</w:t>
      </w:r>
    </w:p>
    <w:p w14:paraId="1E22D833">
      <w:pPr>
        <w:tabs>
          <w:tab w:val="left" w:pos="7560"/>
        </w:tabs>
        <w:ind w:right="-96"/>
        <w:jc w:val="center"/>
        <w:rPr>
          <w:rFonts w:ascii="黑体" w:hAnsi="黑体" w:eastAsia="黑体" w:cs="黑体"/>
          <w:sz w:val="32"/>
          <w:szCs w:val="32"/>
        </w:rPr>
      </w:pPr>
      <w:r>
        <w:rPr>
          <w:rFonts w:hint="eastAsia" w:ascii="黑体" w:hAnsi="黑体" w:eastAsia="黑体" w:cs="黑体"/>
          <w:sz w:val="32"/>
          <w:szCs w:val="32"/>
        </w:rPr>
        <w:t>第五章 附则</w:t>
      </w:r>
    </w:p>
    <w:p w14:paraId="0F56AE2C">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第二十一条</w:t>
      </w:r>
      <w:r>
        <w:rPr>
          <w:rFonts w:hint="eastAsia" w:ascii="仿宋_GB2312" w:hAnsi="仿宋_GB2312" w:eastAsia="仿宋_GB2312" w:cs="仿宋_GB2312"/>
          <w:sz w:val="28"/>
          <w:szCs w:val="28"/>
        </w:rPr>
        <w:t xml:space="preserve"> 本办法未尽事宜，适用有关法律、法规、规范性文件及《本行章程》的规定。如本办法与新颁布的法律、法规、规范性文件及相关规定产生差异，按新的法律、法规、规范性文件及相关规定执行，并适时修订本办法，报董事会审议通过。</w:t>
      </w:r>
    </w:p>
    <w:p w14:paraId="6DF2A757">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第二十二条</w:t>
      </w:r>
      <w:r>
        <w:rPr>
          <w:rFonts w:hint="eastAsia" w:ascii="仿宋_GB2312" w:hAnsi="仿宋_GB2312" w:eastAsia="仿宋_GB2312" w:cs="仿宋_GB2312"/>
          <w:sz w:val="28"/>
          <w:szCs w:val="28"/>
        </w:rPr>
        <w:t xml:space="preserve"> 本办法由本行董事会负责解释和修订。</w:t>
      </w:r>
    </w:p>
    <w:p w14:paraId="39E5F810">
      <w:pPr>
        <w:tabs>
          <w:tab w:val="left" w:pos="7560"/>
        </w:tabs>
        <w:ind w:right="-96"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第二十三条</w:t>
      </w:r>
      <w:r>
        <w:rPr>
          <w:rFonts w:hint="eastAsia" w:ascii="仿宋_GB2312" w:hAnsi="仿宋_GB2312" w:eastAsia="仿宋_GB2312" w:cs="仿宋_GB2312"/>
          <w:sz w:val="28"/>
          <w:szCs w:val="28"/>
        </w:rPr>
        <w:t xml:space="preserve"> 本办法自董事会审议通过之日起生效并实施。</w:t>
      </w:r>
    </w:p>
    <w:sectPr>
      <w:footerReference r:id="rId3" w:type="default"/>
      <w:pgSz w:w="11906" w:h="16838"/>
      <w:pgMar w:top="1440" w:right="1800" w:bottom="850" w:left="1800" w:header="851" w:footer="992" w:gutter="0"/>
      <w:pgNumType w:fmt="numberInDash"/>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panose1 w:val="02010600030101010101"/>
    <w:charset w:val="86"/>
    <w:family w:val="auto"/>
    <w:pitch w:val="default"/>
    <w:sig w:usb0="A00002BF" w:usb1="38CF7CFA" w:usb2="00000016" w:usb3="00000000" w:csb0="0004000F" w:csb1="00000000"/>
  </w:font>
  <w:font w:name="方正大标宋简体">
    <w:altName w:val="Arial Unicode MS"/>
    <w:panose1 w:val="00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76E8B">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98CC7C">
                          <w:pPr>
                            <w:pStyle w:val="5"/>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6rY5ptYBAACyAwAADgAAAAAAAAABACAAAAAe&#10;AQAAZHJzL2Uyb0RvYy54bWxQSwUGAAAAAAYABgBZAQAAZgUAAAAA&#10;">
              <v:fill on="f" focussize="0,0"/>
              <v:stroke on="f"/>
              <v:imagedata o:title=""/>
              <o:lock v:ext="edit" aspectratio="f"/>
              <v:textbox inset="0mm,0mm,0mm,0mm" style="mso-fit-shape-to-text:t;">
                <w:txbxContent>
                  <w:p w14:paraId="4998CC7C">
                    <w:pPr>
                      <w:pStyle w:val="5"/>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4C9"/>
    <w:rsid w:val="0000079D"/>
    <w:rsid w:val="000040D1"/>
    <w:rsid w:val="00010001"/>
    <w:rsid w:val="0001010C"/>
    <w:rsid w:val="00010B9F"/>
    <w:rsid w:val="00012666"/>
    <w:rsid w:val="00012FA0"/>
    <w:rsid w:val="0001314C"/>
    <w:rsid w:val="00013998"/>
    <w:rsid w:val="0001494C"/>
    <w:rsid w:val="000153C9"/>
    <w:rsid w:val="000209CE"/>
    <w:rsid w:val="00020D66"/>
    <w:rsid w:val="00021612"/>
    <w:rsid w:val="0002171C"/>
    <w:rsid w:val="000220B1"/>
    <w:rsid w:val="000233FA"/>
    <w:rsid w:val="00023EFF"/>
    <w:rsid w:val="000241EB"/>
    <w:rsid w:val="00027F6F"/>
    <w:rsid w:val="00031199"/>
    <w:rsid w:val="000312BF"/>
    <w:rsid w:val="00031435"/>
    <w:rsid w:val="000325F4"/>
    <w:rsid w:val="000326C5"/>
    <w:rsid w:val="00032C32"/>
    <w:rsid w:val="000334D5"/>
    <w:rsid w:val="00034014"/>
    <w:rsid w:val="00040460"/>
    <w:rsid w:val="0004136F"/>
    <w:rsid w:val="00042C5A"/>
    <w:rsid w:val="00044736"/>
    <w:rsid w:val="0004754A"/>
    <w:rsid w:val="00047769"/>
    <w:rsid w:val="0005026F"/>
    <w:rsid w:val="00050C2F"/>
    <w:rsid w:val="000524B7"/>
    <w:rsid w:val="00053629"/>
    <w:rsid w:val="000543A5"/>
    <w:rsid w:val="00054A7A"/>
    <w:rsid w:val="00054A7F"/>
    <w:rsid w:val="00055490"/>
    <w:rsid w:val="000577CF"/>
    <w:rsid w:val="000579DA"/>
    <w:rsid w:val="00063585"/>
    <w:rsid w:val="00063891"/>
    <w:rsid w:val="00065860"/>
    <w:rsid w:val="00066C88"/>
    <w:rsid w:val="00067923"/>
    <w:rsid w:val="00072C16"/>
    <w:rsid w:val="00073828"/>
    <w:rsid w:val="00074DE9"/>
    <w:rsid w:val="000763D5"/>
    <w:rsid w:val="00076AAC"/>
    <w:rsid w:val="00077A13"/>
    <w:rsid w:val="0008007A"/>
    <w:rsid w:val="00080D8C"/>
    <w:rsid w:val="00080F7F"/>
    <w:rsid w:val="000813CB"/>
    <w:rsid w:val="00081C0D"/>
    <w:rsid w:val="000826A1"/>
    <w:rsid w:val="00086049"/>
    <w:rsid w:val="00090238"/>
    <w:rsid w:val="000909EA"/>
    <w:rsid w:val="00090A3A"/>
    <w:rsid w:val="00090D7D"/>
    <w:rsid w:val="000966FA"/>
    <w:rsid w:val="00097501"/>
    <w:rsid w:val="00097D5B"/>
    <w:rsid w:val="00097DAB"/>
    <w:rsid w:val="000A01D4"/>
    <w:rsid w:val="000A1DF0"/>
    <w:rsid w:val="000A4008"/>
    <w:rsid w:val="000A4361"/>
    <w:rsid w:val="000A6FDA"/>
    <w:rsid w:val="000A7C81"/>
    <w:rsid w:val="000B034C"/>
    <w:rsid w:val="000B1A8E"/>
    <w:rsid w:val="000B208A"/>
    <w:rsid w:val="000B235B"/>
    <w:rsid w:val="000B503F"/>
    <w:rsid w:val="000B5D7D"/>
    <w:rsid w:val="000B743C"/>
    <w:rsid w:val="000C0023"/>
    <w:rsid w:val="000C03F8"/>
    <w:rsid w:val="000C30A8"/>
    <w:rsid w:val="000C3734"/>
    <w:rsid w:val="000C4C76"/>
    <w:rsid w:val="000C4DC9"/>
    <w:rsid w:val="000C727F"/>
    <w:rsid w:val="000C7B70"/>
    <w:rsid w:val="000C7FD4"/>
    <w:rsid w:val="000D1AFC"/>
    <w:rsid w:val="000D48BB"/>
    <w:rsid w:val="000D49DE"/>
    <w:rsid w:val="000D6D3E"/>
    <w:rsid w:val="000D7568"/>
    <w:rsid w:val="000E05D7"/>
    <w:rsid w:val="000E2EB9"/>
    <w:rsid w:val="000E3111"/>
    <w:rsid w:val="000E320F"/>
    <w:rsid w:val="000E419C"/>
    <w:rsid w:val="000E4F6C"/>
    <w:rsid w:val="000E5592"/>
    <w:rsid w:val="000F0E49"/>
    <w:rsid w:val="000F2D6C"/>
    <w:rsid w:val="00102866"/>
    <w:rsid w:val="0010293F"/>
    <w:rsid w:val="00102E1D"/>
    <w:rsid w:val="00104A0F"/>
    <w:rsid w:val="00104B1E"/>
    <w:rsid w:val="001062EF"/>
    <w:rsid w:val="00106840"/>
    <w:rsid w:val="00107033"/>
    <w:rsid w:val="001111B0"/>
    <w:rsid w:val="00112EFC"/>
    <w:rsid w:val="001209F8"/>
    <w:rsid w:val="00121C56"/>
    <w:rsid w:val="00122979"/>
    <w:rsid w:val="00123C31"/>
    <w:rsid w:val="00124983"/>
    <w:rsid w:val="00125BEC"/>
    <w:rsid w:val="0013265F"/>
    <w:rsid w:val="0013648A"/>
    <w:rsid w:val="00136A47"/>
    <w:rsid w:val="00137173"/>
    <w:rsid w:val="00141E11"/>
    <w:rsid w:val="0014292F"/>
    <w:rsid w:val="00142AE6"/>
    <w:rsid w:val="00143031"/>
    <w:rsid w:val="00145CDE"/>
    <w:rsid w:val="001476CA"/>
    <w:rsid w:val="001478F5"/>
    <w:rsid w:val="00151981"/>
    <w:rsid w:val="00154177"/>
    <w:rsid w:val="001544C3"/>
    <w:rsid w:val="00155953"/>
    <w:rsid w:val="001561F2"/>
    <w:rsid w:val="00157206"/>
    <w:rsid w:val="001629B9"/>
    <w:rsid w:val="0016337C"/>
    <w:rsid w:val="001639BE"/>
    <w:rsid w:val="00165AB2"/>
    <w:rsid w:val="001675DA"/>
    <w:rsid w:val="001725F5"/>
    <w:rsid w:val="00172750"/>
    <w:rsid w:val="00172F2C"/>
    <w:rsid w:val="001736BF"/>
    <w:rsid w:val="001805E9"/>
    <w:rsid w:val="0018205E"/>
    <w:rsid w:val="00183C7D"/>
    <w:rsid w:val="00184B39"/>
    <w:rsid w:val="00185CC2"/>
    <w:rsid w:val="0018690D"/>
    <w:rsid w:val="00186B91"/>
    <w:rsid w:val="00187BBD"/>
    <w:rsid w:val="00190291"/>
    <w:rsid w:val="0019379D"/>
    <w:rsid w:val="001937D3"/>
    <w:rsid w:val="001960C7"/>
    <w:rsid w:val="00196AB0"/>
    <w:rsid w:val="00197657"/>
    <w:rsid w:val="001A069A"/>
    <w:rsid w:val="001A0F28"/>
    <w:rsid w:val="001A33FA"/>
    <w:rsid w:val="001A4918"/>
    <w:rsid w:val="001A4ABB"/>
    <w:rsid w:val="001A586B"/>
    <w:rsid w:val="001A5F4A"/>
    <w:rsid w:val="001B07C9"/>
    <w:rsid w:val="001B18F4"/>
    <w:rsid w:val="001B1EDA"/>
    <w:rsid w:val="001B236E"/>
    <w:rsid w:val="001B3676"/>
    <w:rsid w:val="001B4077"/>
    <w:rsid w:val="001B626C"/>
    <w:rsid w:val="001B63DF"/>
    <w:rsid w:val="001B689D"/>
    <w:rsid w:val="001B74C6"/>
    <w:rsid w:val="001C168A"/>
    <w:rsid w:val="001C23BE"/>
    <w:rsid w:val="001C25A1"/>
    <w:rsid w:val="001C3D1E"/>
    <w:rsid w:val="001C495F"/>
    <w:rsid w:val="001C5834"/>
    <w:rsid w:val="001D0F74"/>
    <w:rsid w:val="001D27F2"/>
    <w:rsid w:val="001D425B"/>
    <w:rsid w:val="001D5293"/>
    <w:rsid w:val="001D7EC7"/>
    <w:rsid w:val="001E09CA"/>
    <w:rsid w:val="001E1246"/>
    <w:rsid w:val="001E1909"/>
    <w:rsid w:val="001E1AC4"/>
    <w:rsid w:val="001E2DA5"/>
    <w:rsid w:val="001E638E"/>
    <w:rsid w:val="001E6A5E"/>
    <w:rsid w:val="001E7937"/>
    <w:rsid w:val="001F0B92"/>
    <w:rsid w:val="001F0C71"/>
    <w:rsid w:val="001F101F"/>
    <w:rsid w:val="001F462D"/>
    <w:rsid w:val="001F69C1"/>
    <w:rsid w:val="001F7E74"/>
    <w:rsid w:val="0020072C"/>
    <w:rsid w:val="0020231D"/>
    <w:rsid w:val="0020447D"/>
    <w:rsid w:val="002048DC"/>
    <w:rsid w:val="00206DE6"/>
    <w:rsid w:val="002072B6"/>
    <w:rsid w:val="00207864"/>
    <w:rsid w:val="00213BC9"/>
    <w:rsid w:val="00213EA1"/>
    <w:rsid w:val="00213FA0"/>
    <w:rsid w:val="00216F24"/>
    <w:rsid w:val="00217191"/>
    <w:rsid w:val="002175DC"/>
    <w:rsid w:val="00222819"/>
    <w:rsid w:val="00223712"/>
    <w:rsid w:val="00225B6E"/>
    <w:rsid w:val="00225CD1"/>
    <w:rsid w:val="00227415"/>
    <w:rsid w:val="0023021D"/>
    <w:rsid w:val="002319B7"/>
    <w:rsid w:val="00231BB2"/>
    <w:rsid w:val="002334AF"/>
    <w:rsid w:val="00234089"/>
    <w:rsid w:val="0023435D"/>
    <w:rsid w:val="00235E1B"/>
    <w:rsid w:val="00236761"/>
    <w:rsid w:val="00237EDD"/>
    <w:rsid w:val="002413C6"/>
    <w:rsid w:val="00241DB6"/>
    <w:rsid w:val="00242261"/>
    <w:rsid w:val="00242FB9"/>
    <w:rsid w:val="0024365B"/>
    <w:rsid w:val="0024603D"/>
    <w:rsid w:val="00246359"/>
    <w:rsid w:val="002470D9"/>
    <w:rsid w:val="002503C6"/>
    <w:rsid w:val="0025171B"/>
    <w:rsid w:val="002517B1"/>
    <w:rsid w:val="00251DB8"/>
    <w:rsid w:val="00253327"/>
    <w:rsid w:val="00255BD5"/>
    <w:rsid w:val="0025619C"/>
    <w:rsid w:val="002566A8"/>
    <w:rsid w:val="002576D4"/>
    <w:rsid w:val="00257BA4"/>
    <w:rsid w:val="00257C62"/>
    <w:rsid w:val="00261D52"/>
    <w:rsid w:val="00263844"/>
    <w:rsid w:val="00264837"/>
    <w:rsid w:val="00265D06"/>
    <w:rsid w:val="00266345"/>
    <w:rsid w:val="00270B1C"/>
    <w:rsid w:val="002724E9"/>
    <w:rsid w:val="00273BF7"/>
    <w:rsid w:val="00274124"/>
    <w:rsid w:val="00274F08"/>
    <w:rsid w:val="00275600"/>
    <w:rsid w:val="00281B8A"/>
    <w:rsid w:val="00281E0B"/>
    <w:rsid w:val="00284208"/>
    <w:rsid w:val="0028490B"/>
    <w:rsid w:val="002863B3"/>
    <w:rsid w:val="00287D19"/>
    <w:rsid w:val="00290D6F"/>
    <w:rsid w:val="00293FE7"/>
    <w:rsid w:val="0029497C"/>
    <w:rsid w:val="00294BFF"/>
    <w:rsid w:val="00294FBE"/>
    <w:rsid w:val="002A04E5"/>
    <w:rsid w:val="002A0594"/>
    <w:rsid w:val="002A18C3"/>
    <w:rsid w:val="002A1F64"/>
    <w:rsid w:val="002A2672"/>
    <w:rsid w:val="002A3B15"/>
    <w:rsid w:val="002A3C07"/>
    <w:rsid w:val="002A51F5"/>
    <w:rsid w:val="002A6C62"/>
    <w:rsid w:val="002A6DE4"/>
    <w:rsid w:val="002B1A93"/>
    <w:rsid w:val="002B3009"/>
    <w:rsid w:val="002B3588"/>
    <w:rsid w:val="002B523F"/>
    <w:rsid w:val="002C2AEB"/>
    <w:rsid w:val="002C5A24"/>
    <w:rsid w:val="002C759D"/>
    <w:rsid w:val="002C765D"/>
    <w:rsid w:val="002D0B4E"/>
    <w:rsid w:val="002D0CC0"/>
    <w:rsid w:val="002D1FEE"/>
    <w:rsid w:val="002D2D58"/>
    <w:rsid w:val="002D4C09"/>
    <w:rsid w:val="002D4DEE"/>
    <w:rsid w:val="002D5696"/>
    <w:rsid w:val="002D58C6"/>
    <w:rsid w:val="002D5FE5"/>
    <w:rsid w:val="002D6813"/>
    <w:rsid w:val="002D7AC5"/>
    <w:rsid w:val="002E129A"/>
    <w:rsid w:val="002E1472"/>
    <w:rsid w:val="002E1E61"/>
    <w:rsid w:val="002E2C1D"/>
    <w:rsid w:val="002E3929"/>
    <w:rsid w:val="002E44DD"/>
    <w:rsid w:val="002E4C0B"/>
    <w:rsid w:val="002E5150"/>
    <w:rsid w:val="002E6EA5"/>
    <w:rsid w:val="002E76D5"/>
    <w:rsid w:val="002F019D"/>
    <w:rsid w:val="002F1982"/>
    <w:rsid w:val="002F3D94"/>
    <w:rsid w:val="002F3EED"/>
    <w:rsid w:val="002F504E"/>
    <w:rsid w:val="002F527D"/>
    <w:rsid w:val="002F6987"/>
    <w:rsid w:val="002F7C31"/>
    <w:rsid w:val="00300454"/>
    <w:rsid w:val="00300A0D"/>
    <w:rsid w:val="0030214B"/>
    <w:rsid w:val="0030341C"/>
    <w:rsid w:val="003039A5"/>
    <w:rsid w:val="00306007"/>
    <w:rsid w:val="00307984"/>
    <w:rsid w:val="003114A2"/>
    <w:rsid w:val="00315413"/>
    <w:rsid w:val="00315423"/>
    <w:rsid w:val="0031585C"/>
    <w:rsid w:val="00315AEA"/>
    <w:rsid w:val="003165D8"/>
    <w:rsid w:val="0031678F"/>
    <w:rsid w:val="003170C6"/>
    <w:rsid w:val="00320ADC"/>
    <w:rsid w:val="00322486"/>
    <w:rsid w:val="00323761"/>
    <w:rsid w:val="00326094"/>
    <w:rsid w:val="003279A4"/>
    <w:rsid w:val="003317D3"/>
    <w:rsid w:val="00335D4F"/>
    <w:rsid w:val="00335F09"/>
    <w:rsid w:val="00336179"/>
    <w:rsid w:val="0033723E"/>
    <w:rsid w:val="00337E34"/>
    <w:rsid w:val="00340BFA"/>
    <w:rsid w:val="0034175C"/>
    <w:rsid w:val="0034220F"/>
    <w:rsid w:val="00345481"/>
    <w:rsid w:val="00345DD6"/>
    <w:rsid w:val="0034765E"/>
    <w:rsid w:val="00350ED0"/>
    <w:rsid w:val="00352EBA"/>
    <w:rsid w:val="003535FD"/>
    <w:rsid w:val="003549C9"/>
    <w:rsid w:val="00355068"/>
    <w:rsid w:val="00357767"/>
    <w:rsid w:val="00357971"/>
    <w:rsid w:val="0036140D"/>
    <w:rsid w:val="003624CA"/>
    <w:rsid w:val="00362968"/>
    <w:rsid w:val="00362FE8"/>
    <w:rsid w:val="00365C48"/>
    <w:rsid w:val="0036680F"/>
    <w:rsid w:val="00366E85"/>
    <w:rsid w:val="00371A5B"/>
    <w:rsid w:val="00371DDC"/>
    <w:rsid w:val="0037335B"/>
    <w:rsid w:val="00373925"/>
    <w:rsid w:val="00373A35"/>
    <w:rsid w:val="003762B3"/>
    <w:rsid w:val="00382331"/>
    <w:rsid w:val="00384248"/>
    <w:rsid w:val="00384901"/>
    <w:rsid w:val="00385546"/>
    <w:rsid w:val="003869D7"/>
    <w:rsid w:val="00386B91"/>
    <w:rsid w:val="0039012B"/>
    <w:rsid w:val="0039408F"/>
    <w:rsid w:val="0039557E"/>
    <w:rsid w:val="00395A37"/>
    <w:rsid w:val="003A0DDF"/>
    <w:rsid w:val="003A2AE0"/>
    <w:rsid w:val="003A3B2A"/>
    <w:rsid w:val="003A6B46"/>
    <w:rsid w:val="003A6CFE"/>
    <w:rsid w:val="003A763D"/>
    <w:rsid w:val="003B0644"/>
    <w:rsid w:val="003B1348"/>
    <w:rsid w:val="003B379C"/>
    <w:rsid w:val="003B3A56"/>
    <w:rsid w:val="003B3CE2"/>
    <w:rsid w:val="003B550E"/>
    <w:rsid w:val="003B59DC"/>
    <w:rsid w:val="003B5D13"/>
    <w:rsid w:val="003B70C5"/>
    <w:rsid w:val="003B7304"/>
    <w:rsid w:val="003B759E"/>
    <w:rsid w:val="003C072D"/>
    <w:rsid w:val="003C4FC2"/>
    <w:rsid w:val="003C60D0"/>
    <w:rsid w:val="003C62BD"/>
    <w:rsid w:val="003D19AA"/>
    <w:rsid w:val="003D19B0"/>
    <w:rsid w:val="003D2979"/>
    <w:rsid w:val="003D2CD6"/>
    <w:rsid w:val="003E07B7"/>
    <w:rsid w:val="003E0927"/>
    <w:rsid w:val="003E6246"/>
    <w:rsid w:val="003F001E"/>
    <w:rsid w:val="003F1925"/>
    <w:rsid w:val="003F38FC"/>
    <w:rsid w:val="003F5809"/>
    <w:rsid w:val="003F63DC"/>
    <w:rsid w:val="00403E5B"/>
    <w:rsid w:val="00403EA8"/>
    <w:rsid w:val="00404552"/>
    <w:rsid w:val="0040628F"/>
    <w:rsid w:val="00406A09"/>
    <w:rsid w:val="004071CB"/>
    <w:rsid w:val="0041123E"/>
    <w:rsid w:val="0041131D"/>
    <w:rsid w:val="004122DE"/>
    <w:rsid w:val="00414A54"/>
    <w:rsid w:val="00416998"/>
    <w:rsid w:val="004172BB"/>
    <w:rsid w:val="004203D8"/>
    <w:rsid w:val="00421C72"/>
    <w:rsid w:val="004220E8"/>
    <w:rsid w:val="00422304"/>
    <w:rsid w:val="00422396"/>
    <w:rsid w:val="004262A3"/>
    <w:rsid w:val="004276D9"/>
    <w:rsid w:val="00427BA9"/>
    <w:rsid w:val="0043073A"/>
    <w:rsid w:val="00430D57"/>
    <w:rsid w:val="00431D2C"/>
    <w:rsid w:val="00432FB3"/>
    <w:rsid w:val="00433165"/>
    <w:rsid w:val="0043490F"/>
    <w:rsid w:val="00435A68"/>
    <w:rsid w:val="0043659B"/>
    <w:rsid w:val="004378BA"/>
    <w:rsid w:val="00440C7F"/>
    <w:rsid w:val="004410F0"/>
    <w:rsid w:val="00443D20"/>
    <w:rsid w:val="00445F50"/>
    <w:rsid w:val="00447E22"/>
    <w:rsid w:val="00450E70"/>
    <w:rsid w:val="00451461"/>
    <w:rsid w:val="00452A7A"/>
    <w:rsid w:val="00454928"/>
    <w:rsid w:val="0045563B"/>
    <w:rsid w:val="004625F8"/>
    <w:rsid w:val="00462659"/>
    <w:rsid w:val="0046360D"/>
    <w:rsid w:val="0046583B"/>
    <w:rsid w:val="00465C93"/>
    <w:rsid w:val="00466260"/>
    <w:rsid w:val="0047078E"/>
    <w:rsid w:val="00470AA9"/>
    <w:rsid w:val="00471D3D"/>
    <w:rsid w:val="004733B8"/>
    <w:rsid w:val="00476176"/>
    <w:rsid w:val="004764F4"/>
    <w:rsid w:val="0048008E"/>
    <w:rsid w:val="00480107"/>
    <w:rsid w:val="0048065E"/>
    <w:rsid w:val="00482908"/>
    <w:rsid w:val="00482C50"/>
    <w:rsid w:val="00486757"/>
    <w:rsid w:val="004868C9"/>
    <w:rsid w:val="00487101"/>
    <w:rsid w:val="00487242"/>
    <w:rsid w:val="00490515"/>
    <w:rsid w:val="00490AF7"/>
    <w:rsid w:val="004922CE"/>
    <w:rsid w:val="00493FBF"/>
    <w:rsid w:val="00494035"/>
    <w:rsid w:val="00494A9E"/>
    <w:rsid w:val="00494AC5"/>
    <w:rsid w:val="00494F57"/>
    <w:rsid w:val="0049577E"/>
    <w:rsid w:val="00495999"/>
    <w:rsid w:val="00495C02"/>
    <w:rsid w:val="00495E21"/>
    <w:rsid w:val="0049637B"/>
    <w:rsid w:val="00496469"/>
    <w:rsid w:val="00496524"/>
    <w:rsid w:val="00497376"/>
    <w:rsid w:val="00497EA7"/>
    <w:rsid w:val="004A1BD2"/>
    <w:rsid w:val="004A3095"/>
    <w:rsid w:val="004A5479"/>
    <w:rsid w:val="004A736D"/>
    <w:rsid w:val="004B37CD"/>
    <w:rsid w:val="004B3817"/>
    <w:rsid w:val="004B4EEC"/>
    <w:rsid w:val="004B5F06"/>
    <w:rsid w:val="004B7EBF"/>
    <w:rsid w:val="004C0B76"/>
    <w:rsid w:val="004C226D"/>
    <w:rsid w:val="004C2731"/>
    <w:rsid w:val="004C3042"/>
    <w:rsid w:val="004C4413"/>
    <w:rsid w:val="004C4477"/>
    <w:rsid w:val="004D0951"/>
    <w:rsid w:val="004D14EA"/>
    <w:rsid w:val="004D1F8B"/>
    <w:rsid w:val="004D2396"/>
    <w:rsid w:val="004D2618"/>
    <w:rsid w:val="004D28CA"/>
    <w:rsid w:val="004D3433"/>
    <w:rsid w:val="004D344B"/>
    <w:rsid w:val="004D47BD"/>
    <w:rsid w:val="004D5645"/>
    <w:rsid w:val="004D5755"/>
    <w:rsid w:val="004E08D0"/>
    <w:rsid w:val="004E14CD"/>
    <w:rsid w:val="004E2D31"/>
    <w:rsid w:val="004E2E92"/>
    <w:rsid w:val="004E2FFD"/>
    <w:rsid w:val="004E4CDE"/>
    <w:rsid w:val="004E4DD2"/>
    <w:rsid w:val="004F1269"/>
    <w:rsid w:val="004F139F"/>
    <w:rsid w:val="004F1494"/>
    <w:rsid w:val="004F2804"/>
    <w:rsid w:val="004F3AC8"/>
    <w:rsid w:val="004F3ED4"/>
    <w:rsid w:val="004F5F10"/>
    <w:rsid w:val="005019E9"/>
    <w:rsid w:val="00501B99"/>
    <w:rsid w:val="005043DC"/>
    <w:rsid w:val="00504461"/>
    <w:rsid w:val="00510918"/>
    <w:rsid w:val="00514550"/>
    <w:rsid w:val="005160B1"/>
    <w:rsid w:val="00516B65"/>
    <w:rsid w:val="00516CA3"/>
    <w:rsid w:val="00516F9D"/>
    <w:rsid w:val="00521531"/>
    <w:rsid w:val="0052163D"/>
    <w:rsid w:val="00524C5A"/>
    <w:rsid w:val="0052596E"/>
    <w:rsid w:val="00525F1C"/>
    <w:rsid w:val="005308E4"/>
    <w:rsid w:val="00530DE5"/>
    <w:rsid w:val="00531BC3"/>
    <w:rsid w:val="00532064"/>
    <w:rsid w:val="00532D83"/>
    <w:rsid w:val="00533093"/>
    <w:rsid w:val="00534FAA"/>
    <w:rsid w:val="00535383"/>
    <w:rsid w:val="00540616"/>
    <w:rsid w:val="00540635"/>
    <w:rsid w:val="005408B8"/>
    <w:rsid w:val="005441C6"/>
    <w:rsid w:val="00545125"/>
    <w:rsid w:val="0054609A"/>
    <w:rsid w:val="005464B2"/>
    <w:rsid w:val="00546763"/>
    <w:rsid w:val="00551306"/>
    <w:rsid w:val="00551E9F"/>
    <w:rsid w:val="00552A8B"/>
    <w:rsid w:val="00553B1D"/>
    <w:rsid w:val="00555B2A"/>
    <w:rsid w:val="00555DB2"/>
    <w:rsid w:val="00556338"/>
    <w:rsid w:val="0055794F"/>
    <w:rsid w:val="00562633"/>
    <w:rsid w:val="0056278D"/>
    <w:rsid w:val="00563377"/>
    <w:rsid w:val="00563CCD"/>
    <w:rsid w:val="00565167"/>
    <w:rsid w:val="00565388"/>
    <w:rsid w:val="00567298"/>
    <w:rsid w:val="005725CC"/>
    <w:rsid w:val="00574416"/>
    <w:rsid w:val="005758FD"/>
    <w:rsid w:val="00575C53"/>
    <w:rsid w:val="00575F2E"/>
    <w:rsid w:val="005765ED"/>
    <w:rsid w:val="00580167"/>
    <w:rsid w:val="0058098D"/>
    <w:rsid w:val="00580BF7"/>
    <w:rsid w:val="005858CE"/>
    <w:rsid w:val="00586076"/>
    <w:rsid w:val="005861B1"/>
    <w:rsid w:val="005869AE"/>
    <w:rsid w:val="00587D12"/>
    <w:rsid w:val="005925B2"/>
    <w:rsid w:val="005927C5"/>
    <w:rsid w:val="00593B6D"/>
    <w:rsid w:val="0059596D"/>
    <w:rsid w:val="005A200E"/>
    <w:rsid w:val="005A27AD"/>
    <w:rsid w:val="005A573E"/>
    <w:rsid w:val="005A5DC5"/>
    <w:rsid w:val="005B0C7C"/>
    <w:rsid w:val="005B12EE"/>
    <w:rsid w:val="005B1D3B"/>
    <w:rsid w:val="005B2D21"/>
    <w:rsid w:val="005B373E"/>
    <w:rsid w:val="005B3C2D"/>
    <w:rsid w:val="005B5577"/>
    <w:rsid w:val="005B76A7"/>
    <w:rsid w:val="005C1810"/>
    <w:rsid w:val="005C34A1"/>
    <w:rsid w:val="005C5013"/>
    <w:rsid w:val="005D006A"/>
    <w:rsid w:val="005D0381"/>
    <w:rsid w:val="005D098B"/>
    <w:rsid w:val="005D1273"/>
    <w:rsid w:val="005D1CB5"/>
    <w:rsid w:val="005D2E02"/>
    <w:rsid w:val="005D537B"/>
    <w:rsid w:val="005D58A9"/>
    <w:rsid w:val="005D6899"/>
    <w:rsid w:val="005D7DB6"/>
    <w:rsid w:val="005E00ED"/>
    <w:rsid w:val="005E0DC3"/>
    <w:rsid w:val="005E1E35"/>
    <w:rsid w:val="005E1E50"/>
    <w:rsid w:val="005E246F"/>
    <w:rsid w:val="005E57A7"/>
    <w:rsid w:val="005E582E"/>
    <w:rsid w:val="005E60F7"/>
    <w:rsid w:val="005E661F"/>
    <w:rsid w:val="005F40C0"/>
    <w:rsid w:val="005F4F1B"/>
    <w:rsid w:val="005F601D"/>
    <w:rsid w:val="005F7CC9"/>
    <w:rsid w:val="00605404"/>
    <w:rsid w:val="00605F23"/>
    <w:rsid w:val="00607A2E"/>
    <w:rsid w:val="00612018"/>
    <w:rsid w:val="006138E6"/>
    <w:rsid w:val="00614740"/>
    <w:rsid w:val="00615080"/>
    <w:rsid w:val="00615245"/>
    <w:rsid w:val="0062005D"/>
    <w:rsid w:val="006202DE"/>
    <w:rsid w:val="006210B2"/>
    <w:rsid w:val="00621379"/>
    <w:rsid w:val="0062150D"/>
    <w:rsid w:val="006221B4"/>
    <w:rsid w:val="00622F6B"/>
    <w:rsid w:val="006254AC"/>
    <w:rsid w:val="00625520"/>
    <w:rsid w:val="006261DD"/>
    <w:rsid w:val="00626356"/>
    <w:rsid w:val="00627737"/>
    <w:rsid w:val="0062783D"/>
    <w:rsid w:val="00630BFC"/>
    <w:rsid w:val="0063127C"/>
    <w:rsid w:val="0063401E"/>
    <w:rsid w:val="00634DBA"/>
    <w:rsid w:val="006350FB"/>
    <w:rsid w:val="00635CAE"/>
    <w:rsid w:val="006404CA"/>
    <w:rsid w:val="00643092"/>
    <w:rsid w:val="00644DA6"/>
    <w:rsid w:val="00645794"/>
    <w:rsid w:val="00646231"/>
    <w:rsid w:val="006502A1"/>
    <w:rsid w:val="00651402"/>
    <w:rsid w:val="006528F9"/>
    <w:rsid w:val="00655DBD"/>
    <w:rsid w:val="00656BA5"/>
    <w:rsid w:val="006578CA"/>
    <w:rsid w:val="00662366"/>
    <w:rsid w:val="006628B8"/>
    <w:rsid w:val="00663D52"/>
    <w:rsid w:val="006656FE"/>
    <w:rsid w:val="00665D6C"/>
    <w:rsid w:val="00665EAB"/>
    <w:rsid w:val="00670BF6"/>
    <w:rsid w:val="00671557"/>
    <w:rsid w:val="0067197C"/>
    <w:rsid w:val="00673098"/>
    <w:rsid w:val="00675167"/>
    <w:rsid w:val="00675278"/>
    <w:rsid w:val="006757CD"/>
    <w:rsid w:val="006774BA"/>
    <w:rsid w:val="00680222"/>
    <w:rsid w:val="0068080A"/>
    <w:rsid w:val="00680D8A"/>
    <w:rsid w:val="00682852"/>
    <w:rsid w:val="006830DA"/>
    <w:rsid w:val="00683E69"/>
    <w:rsid w:val="00684128"/>
    <w:rsid w:val="00685916"/>
    <w:rsid w:val="00687C8A"/>
    <w:rsid w:val="00691594"/>
    <w:rsid w:val="0069229C"/>
    <w:rsid w:val="0069285B"/>
    <w:rsid w:val="00694797"/>
    <w:rsid w:val="00694D1D"/>
    <w:rsid w:val="00696DA2"/>
    <w:rsid w:val="00697216"/>
    <w:rsid w:val="0069790E"/>
    <w:rsid w:val="006A03B7"/>
    <w:rsid w:val="006A1FDB"/>
    <w:rsid w:val="006A31E2"/>
    <w:rsid w:val="006A500C"/>
    <w:rsid w:val="006A5857"/>
    <w:rsid w:val="006A6709"/>
    <w:rsid w:val="006A7CD6"/>
    <w:rsid w:val="006B0210"/>
    <w:rsid w:val="006B02C1"/>
    <w:rsid w:val="006B0F99"/>
    <w:rsid w:val="006B1901"/>
    <w:rsid w:val="006B1A14"/>
    <w:rsid w:val="006B1D2A"/>
    <w:rsid w:val="006B1DFE"/>
    <w:rsid w:val="006B478D"/>
    <w:rsid w:val="006B7608"/>
    <w:rsid w:val="006C03D8"/>
    <w:rsid w:val="006C2076"/>
    <w:rsid w:val="006C4184"/>
    <w:rsid w:val="006C441B"/>
    <w:rsid w:val="006C4CF0"/>
    <w:rsid w:val="006C5780"/>
    <w:rsid w:val="006C7476"/>
    <w:rsid w:val="006D54E4"/>
    <w:rsid w:val="006D7B7B"/>
    <w:rsid w:val="006E186E"/>
    <w:rsid w:val="006E324A"/>
    <w:rsid w:val="006E3870"/>
    <w:rsid w:val="006E40DA"/>
    <w:rsid w:val="006E414A"/>
    <w:rsid w:val="006E5004"/>
    <w:rsid w:val="006E5E7B"/>
    <w:rsid w:val="006E64BF"/>
    <w:rsid w:val="006E6A28"/>
    <w:rsid w:val="006F0020"/>
    <w:rsid w:val="006F0AB8"/>
    <w:rsid w:val="006F1AB0"/>
    <w:rsid w:val="006F23B4"/>
    <w:rsid w:val="006F23E9"/>
    <w:rsid w:val="006F2C92"/>
    <w:rsid w:val="006F4353"/>
    <w:rsid w:val="006F4742"/>
    <w:rsid w:val="006F4B56"/>
    <w:rsid w:val="006F531F"/>
    <w:rsid w:val="006F61E2"/>
    <w:rsid w:val="006F7355"/>
    <w:rsid w:val="00700036"/>
    <w:rsid w:val="00700786"/>
    <w:rsid w:val="00700ABE"/>
    <w:rsid w:val="00700E19"/>
    <w:rsid w:val="0070184C"/>
    <w:rsid w:val="00702604"/>
    <w:rsid w:val="00702F55"/>
    <w:rsid w:val="0070384A"/>
    <w:rsid w:val="00704613"/>
    <w:rsid w:val="007047B7"/>
    <w:rsid w:val="00704BCC"/>
    <w:rsid w:val="0070785D"/>
    <w:rsid w:val="0070796A"/>
    <w:rsid w:val="00712EE6"/>
    <w:rsid w:val="00713D15"/>
    <w:rsid w:val="00714231"/>
    <w:rsid w:val="007143D3"/>
    <w:rsid w:val="00714514"/>
    <w:rsid w:val="00720508"/>
    <w:rsid w:val="007207C3"/>
    <w:rsid w:val="00720B1F"/>
    <w:rsid w:val="00721E3A"/>
    <w:rsid w:val="00723468"/>
    <w:rsid w:val="00724102"/>
    <w:rsid w:val="0072564C"/>
    <w:rsid w:val="00725B84"/>
    <w:rsid w:val="00725F5A"/>
    <w:rsid w:val="00726487"/>
    <w:rsid w:val="00727F6F"/>
    <w:rsid w:val="00730D67"/>
    <w:rsid w:val="00730F55"/>
    <w:rsid w:val="007326F9"/>
    <w:rsid w:val="00732829"/>
    <w:rsid w:val="00734372"/>
    <w:rsid w:val="00734B00"/>
    <w:rsid w:val="0073594C"/>
    <w:rsid w:val="0073643C"/>
    <w:rsid w:val="007400BF"/>
    <w:rsid w:val="007401C1"/>
    <w:rsid w:val="007417DF"/>
    <w:rsid w:val="0074525D"/>
    <w:rsid w:val="00745B80"/>
    <w:rsid w:val="00745F88"/>
    <w:rsid w:val="00747DF5"/>
    <w:rsid w:val="00752102"/>
    <w:rsid w:val="00754471"/>
    <w:rsid w:val="007547CC"/>
    <w:rsid w:val="00754C89"/>
    <w:rsid w:val="00755DED"/>
    <w:rsid w:val="00756BBD"/>
    <w:rsid w:val="00756F3C"/>
    <w:rsid w:val="0075704E"/>
    <w:rsid w:val="007606C2"/>
    <w:rsid w:val="00763720"/>
    <w:rsid w:val="0076392F"/>
    <w:rsid w:val="00764307"/>
    <w:rsid w:val="00766CEC"/>
    <w:rsid w:val="00771001"/>
    <w:rsid w:val="00771C88"/>
    <w:rsid w:val="00771D1B"/>
    <w:rsid w:val="0077360D"/>
    <w:rsid w:val="00773F6C"/>
    <w:rsid w:val="00773F97"/>
    <w:rsid w:val="0077577C"/>
    <w:rsid w:val="00780F4E"/>
    <w:rsid w:val="007811EE"/>
    <w:rsid w:val="0078185D"/>
    <w:rsid w:val="00781989"/>
    <w:rsid w:val="007819D1"/>
    <w:rsid w:val="00782E4E"/>
    <w:rsid w:val="007834BF"/>
    <w:rsid w:val="00785745"/>
    <w:rsid w:val="0079040C"/>
    <w:rsid w:val="00793F13"/>
    <w:rsid w:val="0079470A"/>
    <w:rsid w:val="007978DC"/>
    <w:rsid w:val="007A0EA5"/>
    <w:rsid w:val="007A17A1"/>
    <w:rsid w:val="007A5F80"/>
    <w:rsid w:val="007A68EB"/>
    <w:rsid w:val="007A7C28"/>
    <w:rsid w:val="007B2AA6"/>
    <w:rsid w:val="007B2C51"/>
    <w:rsid w:val="007B33A1"/>
    <w:rsid w:val="007B3806"/>
    <w:rsid w:val="007B4736"/>
    <w:rsid w:val="007B5D1D"/>
    <w:rsid w:val="007C05A3"/>
    <w:rsid w:val="007C13D5"/>
    <w:rsid w:val="007C6665"/>
    <w:rsid w:val="007C6FA6"/>
    <w:rsid w:val="007D0C85"/>
    <w:rsid w:val="007D2F18"/>
    <w:rsid w:val="007D4F60"/>
    <w:rsid w:val="007D4FAB"/>
    <w:rsid w:val="007D70FC"/>
    <w:rsid w:val="007D74AE"/>
    <w:rsid w:val="007E12F9"/>
    <w:rsid w:val="007E2BCC"/>
    <w:rsid w:val="007E4CB9"/>
    <w:rsid w:val="007E5BB6"/>
    <w:rsid w:val="007E5E15"/>
    <w:rsid w:val="007E6F41"/>
    <w:rsid w:val="007E7C79"/>
    <w:rsid w:val="007F1198"/>
    <w:rsid w:val="007F4263"/>
    <w:rsid w:val="007F69F8"/>
    <w:rsid w:val="007F70B4"/>
    <w:rsid w:val="007F7200"/>
    <w:rsid w:val="007F7BE1"/>
    <w:rsid w:val="008024F4"/>
    <w:rsid w:val="008027E2"/>
    <w:rsid w:val="008028AF"/>
    <w:rsid w:val="00803286"/>
    <w:rsid w:val="0080359F"/>
    <w:rsid w:val="00803829"/>
    <w:rsid w:val="00804C26"/>
    <w:rsid w:val="00804F54"/>
    <w:rsid w:val="0080543C"/>
    <w:rsid w:val="00805614"/>
    <w:rsid w:val="00805712"/>
    <w:rsid w:val="00806A67"/>
    <w:rsid w:val="00807E17"/>
    <w:rsid w:val="008104C6"/>
    <w:rsid w:val="00812775"/>
    <w:rsid w:val="0081633D"/>
    <w:rsid w:val="008172E6"/>
    <w:rsid w:val="00817E00"/>
    <w:rsid w:val="00820635"/>
    <w:rsid w:val="00820E69"/>
    <w:rsid w:val="008222C2"/>
    <w:rsid w:val="0082420D"/>
    <w:rsid w:val="008246EF"/>
    <w:rsid w:val="00826380"/>
    <w:rsid w:val="008266CA"/>
    <w:rsid w:val="00827F32"/>
    <w:rsid w:val="008313EF"/>
    <w:rsid w:val="00834967"/>
    <w:rsid w:val="00835DBC"/>
    <w:rsid w:val="008371DA"/>
    <w:rsid w:val="008376E5"/>
    <w:rsid w:val="00837B16"/>
    <w:rsid w:val="00841BF6"/>
    <w:rsid w:val="00841CDF"/>
    <w:rsid w:val="0084292B"/>
    <w:rsid w:val="00843EA8"/>
    <w:rsid w:val="00845FA0"/>
    <w:rsid w:val="00852A6D"/>
    <w:rsid w:val="00852BA8"/>
    <w:rsid w:val="00855859"/>
    <w:rsid w:val="00855C81"/>
    <w:rsid w:val="00856394"/>
    <w:rsid w:val="008564AD"/>
    <w:rsid w:val="00856B9C"/>
    <w:rsid w:val="00857562"/>
    <w:rsid w:val="008576AB"/>
    <w:rsid w:val="0086307A"/>
    <w:rsid w:val="0086383F"/>
    <w:rsid w:val="00864337"/>
    <w:rsid w:val="0086488A"/>
    <w:rsid w:val="00865916"/>
    <w:rsid w:val="00866884"/>
    <w:rsid w:val="008668FE"/>
    <w:rsid w:val="008677F7"/>
    <w:rsid w:val="00867D67"/>
    <w:rsid w:val="00870A60"/>
    <w:rsid w:val="00870AFD"/>
    <w:rsid w:val="00870DA3"/>
    <w:rsid w:val="008726FE"/>
    <w:rsid w:val="008732EB"/>
    <w:rsid w:val="00873840"/>
    <w:rsid w:val="00873B8B"/>
    <w:rsid w:val="008744A6"/>
    <w:rsid w:val="00877C36"/>
    <w:rsid w:val="008814B7"/>
    <w:rsid w:val="008815CC"/>
    <w:rsid w:val="00881CA2"/>
    <w:rsid w:val="008830D1"/>
    <w:rsid w:val="00883272"/>
    <w:rsid w:val="008842B1"/>
    <w:rsid w:val="008848D3"/>
    <w:rsid w:val="0088502C"/>
    <w:rsid w:val="00885E73"/>
    <w:rsid w:val="00885FC0"/>
    <w:rsid w:val="0088630C"/>
    <w:rsid w:val="0088685E"/>
    <w:rsid w:val="00887B55"/>
    <w:rsid w:val="00893CA3"/>
    <w:rsid w:val="00895F25"/>
    <w:rsid w:val="008A0805"/>
    <w:rsid w:val="008A0B84"/>
    <w:rsid w:val="008A0D0E"/>
    <w:rsid w:val="008A172A"/>
    <w:rsid w:val="008A3837"/>
    <w:rsid w:val="008A4886"/>
    <w:rsid w:val="008A77BC"/>
    <w:rsid w:val="008A7E8C"/>
    <w:rsid w:val="008B0E6B"/>
    <w:rsid w:val="008B1F8F"/>
    <w:rsid w:val="008B22CC"/>
    <w:rsid w:val="008B30AB"/>
    <w:rsid w:val="008B3910"/>
    <w:rsid w:val="008B485B"/>
    <w:rsid w:val="008B566E"/>
    <w:rsid w:val="008B62CD"/>
    <w:rsid w:val="008B64EF"/>
    <w:rsid w:val="008B7BC4"/>
    <w:rsid w:val="008C16DD"/>
    <w:rsid w:val="008C2080"/>
    <w:rsid w:val="008C396B"/>
    <w:rsid w:val="008C49F0"/>
    <w:rsid w:val="008C4A5E"/>
    <w:rsid w:val="008C51ED"/>
    <w:rsid w:val="008C6BE7"/>
    <w:rsid w:val="008C6F5E"/>
    <w:rsid w:val="008D05DC"/>
    <w:rsid w:val="008D2B5F"/>
    <w:rsid w:val="008D59D8"/>
    <w:rsid w:val="008D5CA8"/>
    <w:rsid w:val="008D74B9"/>
    <w:rsid w:val="008E016B"/>
    <w:rsid w:val="008E1099"/>
    <w:rsid w:val="008E2A86"/>
    <w:rsid w:val="008E3657"/>
    <w:rsid w:val="008E7685"/>
    <w:rsid w:val="008E79FB"/>
    <w:rsid w:val="008E7DE0"/>
    <w:rsid w:val="008F120C"/>
    <w:rsid w:val="008F48D0"/>
    <w:rsid w:val="008F5CD9"/>
    <w:rsid w:val="008F6BE4"/>
    <w:rsid w:val="008F6F42"/>
    <w:rsid w:val="008F79DA"/>
    <w:rsid w:val="008F7FC7"/>
    <w:rsid w:val="00901298"/>
    <w:rsid w:val="00904177"/>
    <w:rsid w:val="00904729"/>
    <w:rsid w:val="0090763D"/>
    <w:rsid w:val="00907EAB"/>
    <w:rsid w:val="00910164"/>
    <w:rsid w:val="00910192"/>
    <w:rsid w:val="00911980"/>
    <w:rsid w:val="0091229C"/>
    <w:rsid w:val="0091425B"/>
    <w:rsid w:val="009142B6"/>
    <w:rsid w:val="009202B1"/>
    <w:rsid w:val="0092168A"/>
    <w:rsid w:val="00922CC0"/>
    <w:rsid w:val="00922E61"/>
    <w:rsid w:val="00923ACE"/>
    <w:rsid w:val="00925340"/>
    <w:rsid w:val="00925685"/>
    <w:rsid w:val="009260B2"/>
    <w:rsid w:val="0092754C"/>
    <w:rsid w:val="00930478"/>
    <w:rsid w:val="009306DA"/>
    <w:rsid w:val="009313BB"/>
    <w:rsid w:val="00931480"/>
    <w:rsid w:val="00932193"/>
    <w:rsid w:val="0093463C"/>
    <w:rsid w:val="00934991"/>
    <w:rsid w:val="00934DFF"/>
    <w:rsid w:val="00935B23"/>
    <w:rsid w:val="00936302"/>
    <w:rsid w:val="00937C2A"/>
    <w:rsid w:val="009409B2"/>
    <w:rsid w:val="00943636"/>
    <w:rsid w:val="00943AE9"/>
    <w:rsid w:val="009463ED"/>
    <w:rsid w:val="00946643"/>
    <w:rsid w:val="00946A03"/>
    <w:rsid w:val="00947C9E"/>
    <w:rsid w:val="00951015"/>
    <w:rsid w:val="00951F42"/>
    <w:rsid w:val="00952F64"/>
    <w:rsid w:val="00953064"/>
    <w:rsid w:val="009537EA"/>
    <w:rsid w:val="009540E4"/>
    <w:rsid w:val="00955062"/>
    <w:rsid w:val="00955751"/>
    <w:rsid w:val="00955FFA"/>
    <w:rsid w:val="0095620B"/>
    <w:rsid w:val="00960741"/>
    <w:rsid w:val="0096269B"/>
    <w:rsid w:val="009633B3"/>
    <w:rsid w:val="009653CB"/>
    <w:rsid w:val="00965523"/>
    <w:rsid w:val="009666ED"/>
    <w:rsid w:val="009669C8"/>
    <w:rsid w:val="00970EDD"/>
    <w:rsid w:val="00971BC0"/>
    <w:rsid w:val="0097269E"/>
    <w:rsid w:val="00972939"/>
    <w:rsid w:val="00973953"/>
    <w:rsid w:val="009772DE"/>
    <w:rsid w:val="00977EC6"/>
    <w:rsid w:val="00982280"/>
    <w:rsid w:val="009825C0"/>
    <w:rsid w:val="00983D38"/>
    <w:rsid w:val="0098491D"/>
    <w:rsid w:val="00984C6F"/>
    <w:rsid w:val="009856B9"/>
    <w:rsid w:val="00985A0B"/>
    <w:rsid w:val="009868C1"/>
    <w:rsid w:val="00987138"/>
    <w:rsid w:val="009909A3"/>
    <w:rsid w:val="009A0F94"/>
    <w:rsid w:val="009A1856"/>
    <w:rsid w:val="009A315C"/>
    <w:rsid w:val="009A376B"/>
    <w:rsid w:val="009A3A78"/>
    <w:rsid w:val="009A5404"/>
    <w:rsid w:val="009A55C0"/>
    <w:rsid w:val="009B39F5"/>
    <w:rsid w:val="009B4F9B"/>
    <w:rsid w:val="009B65DF"/>
    <w:rsid w:val="009B66B3"/>
    <w:rsid w:val="009B6725"/>
    <w:rsid w:val="009B697B"/>
    <w:rsid w:val="009B6DE8"/>
    <w:rsid w:val="009B721A"/>
    <w:rsid w:val="009C14F3"/>
    <w:rsid w:val="009C1EA3"/>
    <w:rsid w:val="009C2E1E"/>
    <w:rsid w:val="009C3851"/>
    <w:rsid w:val="009C3B72"/>
    <w:rsid w:val="009C666A"/>
    <w:rsid w:val="009C7839"/>
    <w:rsid w:val="009D00D3"/>
    <w:rsid w:val="009D23C5"/>
    <w:rsid w:val="009D5F5F"/>
    <w:rsid w:val="009D6AEE"/>
    <w:rsid w:val="009D6E80"/>
    <w:rsid w:val="009E2181"/>
    <w:rsid w:val="009E229F"/>
    <w:rsid w:val="009E282B"/>
    <w:rsid w:val="009E3CE7"/>
    <w:rsid w:val="009E3F42"/>
    <w:rsid w:val="009E7321"/>
    <w:rsid w:val="009F10B6"/>
    <w:rsid w:val="009F1200"/>
    <w:rsid w:val="009F12C7"/>
    <w:rsid w:val="009F1C7F"/>
    <w:rsid w:val="009F1F44"/>
    <w:rsid w:val="009F437E"/>
    <w:rsid w:val="009F4B4E"/>
    <w:rsid w:val="009F754A"/>
    <w:rsid w:val="009F7D6D"/>
    <w:rsid w:val="00A0173C"/>
    <w:rsid w:val="00A01C43"/>
    <w:rsid w:val="00A040C4"/>
    <w:rsid w:val="00A0457F"/>
    <w:rsid w:val="00A04C74"/>
    <w:rsid w:val="00A04D35"/>
    <w:rsid w:val="00A052A3"/>
    <w:rsid w:val="00A060D7"/>
    <w:rsid w:val="00A06137"/>
    <w:rsid w:val="00A06EAE"/>
    <w:rsid w:val="00A075A3"/>
    <w:rsid w:val="00A07B97"/>
    <w:rsid w:val="00A105F0"/>
    <w:rsid w:val="00A1144E"/>
    <w:rsid w:val="00A13A87"/>
    <w:rsid w:val="00A158DF"/>
    <w:rsid w:val="00A16322"/>
    <w:rsid w:val="00A16475"/>
    <w:rsid w:val="00A169CB"/>
    <w:rsid w:val="00A177B6"/>
    <w:rsid w:val="00A21E98"/>
    <w:rsid w:val="00A237ED"/>
    <w:rsid w:val="00A24D15"/>
    <w:rsid w:val="00A26001"/>
    <w:rsid w:val="00A26198"/>
    <w:rsid w:val="00A263AD"/>
    <w:rsid w:val="00A2662A"/>
    <w:rsid w:val="00A27649"/>
    <w:rsid w:val="00A33A54"/>
    <w:rsid w:val="00A33C08"/>
    <w:rsid w:val="00A34783"/>
    <w:rsid w:val="00A35E00"/>
    <w:rsid w:val="00A36856"/>
    <w:rsid w:val="00A373CE"/>
    <w:rsid w:val="00A40D27"/>
    <w:rsid w:val="00A415E0"/>
    <w:rsid w:val="00A41D99"/>
    <w:rsid w:val="00A421EC"/>
    <w:rsid w:val="00A43154"/>
    <w:rsid w:val="00A44B23"/>
    <w:rsid w:val="00A46379"/>
    <w:rsid w:val="00A46EF3"/>
    <w:rsid w:val="00A5031D"/>
    <w:rsid w:val="00A5299D"/>
    <w:rsid w:val="00A529BD"/>
    <w:rsid w:val="00A53A4B"/>
    <w:rsid w:val="00A53B15"/>
    <w:rsid w:val="00A54149"/>
    <w:rsid w:val="00A554C9"/>
    <w:rsid w:val="00A56631"/>
    <w:rsid w:val="00A603C8"/>
    <w:rsid w:val="00A611F5"/>
    <w:rsid w:val="00A6416D"/>
    <w:rsid w:val="00A676B0"/>
    <w:rsid w:val="00A70A6D"/>
    <w:rsid w:val="00A72C04"/>
    <w:rsid w:val="00A733B9"/>
    <w:rsid w:val="00A7394E"/>
    <w:rsid w:val="00A76AB0"/>
    <w:rsid w:val="00A7701C"/>
    <w:rsid w:val="00A77F4D"/>
    <w:rsid w:val="00A80A8E"/>
    <w:rsid w:val="00A83820"/>
    <w:rsid w:val="00A84291"/>
    <w:rsid w:val="00A84C66"/>
    <w:rsid w:val="00A85326"/>
    <w:rsid w:val="00A872C3"/>
    <w:rsid w:val="00A8767C"/>
    <w:rsid w:val="00A90778"/>
    <w:rsid w:val="00A90949"/>
    <w:rsid w:val="00A92054"/>
    <w:rsid w:val="00A929CD"/>
    <w:rsid w:val="00A940E0"/>
    <w:rsid w:val="00A94B68"/>
    <w:rsid w:val="00A963BC"/>
    <w:rsid w:val="00A96FC9"/>
    <w:rsid w:val="00AA189F"/>
    <w:rsid w:val="00AA211A"/>
    <w:rsid w:val="00AA2EB3"/>
    <w:rsid w:val="00AA2ED8"/>
    <w:rsid w:val="00AA6804"/>
    <w:rsid w:val="00AA69BB"/>
    <w:rsid w:val="00AA7B3C"/>
    <w:rsid w:val="00AB1821"/>
    <w:rsid w:val="00AB45F1"/>
    <w:rsid w:val="00AB4BC0"/>
    <w:rsid w:val="00AB7409"/>
    <w:rsid w:val="00AC15CB"/>
    <w:rsid w:val="00AC56ED"/>
    <w:rsid w:val="00AC57FD"/>
    <w:rsid w:val="00AC7F27"/>
    <w:rsid w:val="00AD2CA4"/>
    <w:rsid w:val="00AD587B"/>
    <w:rsid w:val="00AD5D44"/>
    <w:rsid w:val="00AE150A"/>
    <w:rsid w:val="00AE2508"/>
    <w:rsid w:val="00AE2D95"/>
    <w:rsid w:val="00AE36AD"/>
    <w:rsid w:val="00AE4A0B"/>
    <w:rsid w:val="00AE5B02"/>
    <w:rsid w:val="00AE6AA3"/>
    <w:rsid w:val="00AE73A0"/>
    <w:rsid w:val="00AF0ABE"/>
    <w:rsid w:val="00AF0C15"/>
    <w:rsid w:val="00AF4105"/>
    <w:rsid w:val="00AF4A2D"/>
    <w:rsid w:val="00AF57E6"/>
    <w:rsid w:val="00AF74FC"/>
    <w:rsid w:val="00AF7E40"/>
    <w:rsid w:val="00B0023C"/>
    <w:rsid w:val="00B003C9"/>
    <w:rsid w:val="00B01A0B"/>
    <w:rsid w:val="00B0270E"/>
    <w:rsid w:val="00B035B6"/>
    <w:rsid w:val="00B03982"/>
    <w:rsid w:val="00B07086"/>
    <w:rsid w:val="00B07B94"/>
    <w:rsid w:val="00B11DF1"/>
    <w:rsid w:val="00B124B6"/>
    <w:rsid w:val="00B148A1"/>
    <w:rsid w:val="00B148CA"/>
    <w:rsid w:val="00B14D84"/>
    <w:rsid w:val="00B15251"/>
    <w:rsid w:val="00B15FB4"/>
    <w:rsid w:val="00B233CD"/>
    <w:rsid w:val="00B2343B"/>
    <w:rsid w:val="00B23D37"/>
    <w:rsid w:val="00B25047"/>
    <w:rsid w:val="00B25144"/>
    <w:rsid w:val="00B254B0"/>
    <w:rsid w:val="00B25673"/>
    <w:rsid w:val="00B26E3C"/>
    <w:rsid w:val="00B300F5"/>
    <w:rsid w:val="00B3156D"/>
    <w:rsid w:val="00B31B38"/>
    <w:rsid w:val="00B3269B"/>
    <w:rsid w:val="00B32952"/>
    <w:rsid w:val="00B32B57"/>
    <w:rsid w:val="00B34418"/>
    <w:rsid w:val="00B35EFD"/>
    <w:rsid w:val="00B36D6E"/>
    <w:rsid w:val="00B37308"/>
    <w:rsid w:val="00B378FC"/>
    <w:rsid w:val="00B43584"/>
    <w:rsid w:val="00B43AC3"/>
    <w:rsid w:val="00B45A88"/>
    <w:rsid w:val="00B45C32"/>
    <w:rsid w:val="00B517A6"/>
    <w:rsid w:val="00B52762"/>
    <w:rsid w:val="00B52B8B"/>
    <w:rsid w:val="00B534C5"/>
    <w:rsid w:val="00B53B70"/>
    <w:rsid w:val="00B54BA9"/>
    <w:rsid w:val="00B54CF6"/>
    <w:rsid w:val="00B56DFE"/>
    <w:rsid w:val="00B57D19"/>
    <w:rsid w:val="00B62BBF"/>
    <w:rsid w:val="00B65FD0"/>
    <w:rsid w:val="00B66902"/>
    <w:rsid w:val="00B669E0"/>
    <w:rsid w:val="00B672D5"/>
    <w:rsid w:val="00B702CF"/>
    <w:rsid w:val="00B70699"/>
    <w:rsid w:val="00B706B2"/>
    <w:rsid w:val="00B7085C"/>
    <w:rsid w:val="00B73A41"/>
    <w:rsid w:val="00B74E93"/>
    <w:rsid w:val="00B76861"/>
    <w:rsid w:val="00B8038D"/>
    <w:rsid w:val="00B808FC"/>
    <w:rsid w:val="00B80CFC"/>
    <w:rsid w:val="00B81918"/>
    <w:rsid w:val="00B81D91"/>
    <w:rsid w:val="00B82000"/>
    <w:rsid w:val="00B8277A"/>
    <w:rsid w:val="00B83FE7"/>
    <w:rsid w:val="00B86470"/>
    <w:rsid w:val="00B902C8"/>
    <w:rsid w:val="00B909E1"/>
    <w:rsid w:val="00B921B2"/>
    <w:rsid w:val="00B92D6B"/>
    <w:rsid w:val="00B94729"/>
    <w:rsid w:val="00B9523F"/>
    <w:rsid w:val="00B95B18"/>
    <w:rsid w:val="00BA0D61"/>
    <w:rsid w:val="00BA21B9"/>
    <w:rsid w:val="00BA2E50"/>
    <w:rsid w:val="00BA4F58"/>
    <w:rsid w:val="00BA54D0"/>
    <w:rsid w:val="00BA6340"/>
    <w:rsid w:val="00BA7BB9"/>
    <w:rsid w:val="00BB0059"/>
    <w:rsid w:val="00BB006A"/>
    <w:rsid w:val="00BB112B"/>
    <w:rsid w:val="00BB2390"/>
    <w:rsid w:val="00BB31F7"/>
    <w:rsid w:val="00BB41D3"/>
    <w:rsid w:val="00BB53DD"/>
    <w:rsid w:val="00BB7C17"/>
    <w:rsid w:val="00BC0BFA"/>
    <w:rsid w:val="00BC10F6"/>
    <w:rsid w:val="00BC165D"/>
    <w:rsid w:val="00BC1886"/>
    <w:rsid w:val="00BD1AFF"/>
    <w:rsid w:val="00BD302F"/>
    <w:rsid w:val="00BD3370"/>
    <w:rsid w:val="00BD5924"/>
    <w:rsid w:val="00BD73A9"/>
    <w:rsid w:val="00BE07E7"/>
    <w:rsid w:val="00BE0A2E"/>
    <w:rsid w:val="00BE0DF8"/>
    <w:rsid w:val="00BE25D2"/>
    <w:rsid w:val="00BE4715"/>
    <w:rsid w:val="00BE5344"/>
    <w:rsid w:val="00BF12AA"/>
    <w:rsid w:val="00BF29C2"/>
    <w:rsid w:val="00BF2FCA"/>
    <w:rsid w:val="00BF3CEA"/>
    <w:rsid w:val="00BF3E08"/>
    <w:rsid w:val="00BF3F96"/>
    <w:rsid w:val="00BF4418"/>
    <w:rsid w:val="00C028FF"/>
    <w:rsid w:val="00C02DDD"/>
    <w:rsid w:val="00C052F0"/>
    <w:rsid w:val="00C103E2"/>
    <w:rsid w:val="00C106F7"/>
    <w:rsid w:val="00C10D5A"/>
    <w:rsid w:val="00C11FFD"/>
    <w:rsid w:val="00C135D1"/>
    <w:rsid w:val="00C1382B"/>
    <w:rsid w:val="00C140BD"/>
    <w:rsid w:val="00C1497A"/>
    <w:rsid w:val="00C15E57"/>
    <w:rsid w:val="00C17484"/>
    <w:rsid w:val="00C17860"/>
    <w:rsid w:val="00C227D0"/>
    <w:rsid w:val="00C24A99"/>
    <w:rsid w:val="00C24CE7"/>
    <w:rsid w:val="00C309EF"/>
    <w:rsid w:val="00C3615D"/>
    <w:rsid w:val="00C40D14"/>
    <w:rsid w:val="00C41160"/>
    <w:rsid w:val="00C41188"/>
    <w:rsid w:val="00C42F0C"/>
    <w:rsid w:val="00C43928"/>
    <w:rsid w:val="00C44497"/>
    <w:rsid w:val="00C444C9"/>
    <w:rsid w:val="00C4485B"/>
    <w:rsid w:val="00C458EA"/>
    <w:rsid w:val="00C462BF"/>
    <w:rsid w:val="00C464B0"/>
    <w:rsid w:val="00C474A5"/>
    <w:rsid w:val="00C47E05"/>
    <w:rsid w:val="00C50E9A"/>
    <w:rsid w:val="00C51086"/>
    <w:rsid w:val="00C518C5"/>
    <w:rsid w:val="00C52530"/>
    <w:rsid w:val="00C53655"/>
    <w:rsid w:val="00C54848"/>
    <w:rsid w:val="00C54DFB"/>
    <w:rsid w:val="00C5604D"/>
    <w:rsid w:val="00C574E7"/>
    <w:rsid w:val="00C60966"/>
    <w:rsid w:val="00C62377"/>
    <w:rsid w:val="00C67601"/>
    <w:rsid w:val="00C704A4"/>
    <w:rsid w:val="00C71A82"/>
    <w:rsid w:val="00C7277F"/>
    <w:rsid w:val="00C73976"/>
    <w:rsid w:val="00C7483B"/>
    <w:rsid w:val="00C7498C"/>
    <w:rsid w:val="00C75698"/>
    <w:rsid w:val="00C75DE9"/>
    <w:rsid w:val="00C800F5"/>
    <w:rsid w:val="00C81616"/>
    <w:rsid w:val="00C81618"/>
    <w:rsid w:val="00C83C28"/>
    <w:rsid w:val="00C83C9A"/>
    <w:rsid w:val="00C84E41"/>
    <w:rsid w:val="00C85450"/>
    <w:rsid w:val="00C8706E"/>
    <w:rsid w:val="00C871A3"/>
    <w:rsid w:val="00C87284"/>
    <w:rsid w:val="00C90CCB"/>
    <w:rsid w:val="00C92529"/>
    <w:rsid w:val="00C939F9"/>
    <w:rsid w:val="00C95CD5"/>
    <w:rsid w:val="00C96C67"/>
    <w:rsid w:val="00CA03BC"/>
    <w:rsid w:val="00CA056D"/>
    <w:rsid w:val="00CA0EC5"/>
    <w:rsid w:val="00CA122C"/>
    <w:rsid w:val="00CA18FC"/>
    <w:rsid w:val="00CA2AAF"/>
    <w:rsid w:val="00CA3645"/>
    <w:rsid w:val="00CA4836"/>
    <w:rsid w:val="00CA5EC7"/>
    <w:rsid w:val="00CA6106"/>
    <w:rsid w:val="00CA6489"/>
    <w:rsid w:val="00CA69F0"/>
    <w:rsid w:val="00CB19A1"/>
    <w:rsid w:val="00CB1D7E"/>
    <w:rsid w:val="00CB31BA"/>
    <w:rsid w:val="00CB6930"/>
    <w:rsid w:val="00CB7872"/>
    <w:rsid w:val="00CC06ED"/>
    <w:rsid w:val="00CC1AD3"/>
    <w:rsid w:val="00CC2CC8"/>
    <w:rsid w:val="00CC2D4D"/>
    <w:rsid w:val="00CC40E8"/>
    <w:rsid w:val="00CC6553"/>
    <w:rsid w:val="00CC6691"/>
    <w:rsid w:val="00CD1365"/>
    <w:rsid w:val="00CD4405"/>
    <w:rsid w:val="00CD5E9D"/>
    <w:rsid w:val="00CD5F7D"/>
    <w:rsid w:val="00CD7689"/>
    <w:rsid w:val="00CE00C9"/>
    <w:rsid w:val="00CE0B00"/>
    <w:rsid w:val="00CE16BC"/>
    <w:rsid w:val="00CE3356"/>
    <w:rsid w:val="00CE4597"/>
    <w:rsid w:val="00CE5484"/>
    <w:rsid w:val="00CE68B0"/>
    <w:rsid w:val="00CE6EB9"/>
    <w:rsid w:val="00CF024B"/>
    <w:rsid w:val="00CF2AB2"/>
    <w:rsid w:val="00CF3EFB"/>
    <w:rsid w:val="00CF4ECB"/>
    <w:rsid w:val="00CF57AB"/>
    <w:rsid w:val="00CF5D62"/>
    <w:rsid w:val="00CF6404"/>
    <w:rsid w:val="00CF72E5"/>
    <w:rsid w:val="00CF7CBA"/>
    <w:rsid w:val="00D00AFC"/>
    <w:rsid w:val="00D00ED9"/>
    <w:rsid w:val="00D00F5D"/>
    <w:rsid w:val="00D01062"/>
    <w:rsid w:val="00D012E5"/>
    <w:rsid w:val="00D02851"/>
    <w:rsid w:val="00D034AD"/>
    <w:rsid w:val="00D03679"/>
    <w:rsid w:val="00D038F9"/>
    <w:rsid w:val="00D03F6E"/>
    <w:rsid w:val="00D06963"/>
    <w:rsid w:val="00D10BB2"/>
    <w:rsid w:val="00D10D74"/>
    <w:rsid w:val="00D134C5"/>
    <w:rsid w:val="00D15C73"/>
    <w:rsid w:val="00D161C5"/>
    <w:rsid w:val="00D168C5"/>
    <w:rsid w:val="00D179F4"/>
    <w:rsid w:val="00D20392"/>
    <w:rsid w:val="00D211CD"/>
    <w:rsid w:val="00D22A6F"/>
    <w:rsid w:val="00D22C25"/>
    <w:rsid w:val="00D2426D"/>
    <w:rsid w:val="00D243D1"/>
    <w:rsid w:val="00D33107"/>
    <w:rsid w:val="00D3331F"/>
    <w:rsid w:val="00D341E2"/>
    <w:rsid w:val="00D34532"/>
    <w:rsid w:val="00D3738E"/>
    <w:rsid w:val="00D37574"/>
    <w:rsid w:val="00D3758E"/>
    <w:rsid w:val="00D401EA"/>
    <w:rsid w:val="00D40616"/>
    <w:rsid w:val="00D40BCD"/>
    <w:rsid w:val="00D423E0"/>
    <w:rsid w:val="00D43375"/>
    <w:rsid w:val="00D434C1"/>
    <w:rsid w:val="00D4414F"/>
    <w:rsid w:val="00D4640B"/>
    <w:rsid w:val="00D477EA"/>
    <w:rsid w:val="00D50C5C"/>
    <w:rsid w:val="00D54B2F"/>
    <w:rsid w:val="00D56654"/>
    <w:rsid w:val="00D61E6A"/>
    <w:rsid w:val="00D64CEA"/>
    <w:rsid w:val="00D70294"/>
    <w:rsid w:val="00D70510"/>
    <w:rsid w:val="00D7094B"/>
    <w:rsid w:val="00D7123D"/>
    <w:rsid w:val="00D7158E"/>
    <w:rsid w:val="00D71A74"/>
    <w:rsid w:val="00D721B6"/>
    <w:rsid w:val="00D7457D"/>
    <w:rsid w:val="00D74765"/>
    <w:rsid w:val="00D75DA7"/>
    <w:rsid w:val="00D77793"/>
    <w:rsid w:val="00D81C55"/>
    <w:rsid w:val="00D82995"/>
    <w:rsid w:val="00D84450"/>
    <w:rsid w:val="00D86458"/>
    <w:rsid w:val="00D86D79"/>
    <w:rsid w:val="00D870A3"/>
    <w:rsid w:val="00D91473"/>
    <w:rsid w:val="00D93BD8"/>
    <w:rsid w:val="00D93CA5"/>
    <w:rsid w:val="00D94B62"/>
    <w:rsid w:val="00D953F5"/>
    <w:rsid w:val="00D96A86"/>
    <w:rsid w:val="00D96C90"/>
    <w:rsid w:val="00D97847"/>
    <w:rsid w:val="00D97D93"/>
    <w:rsid w:val="00DA12C1"/>
    <w:rsid w:val="00DB008C"/>
    <w:rsid w:val="00DB00CF"/>
    <w:rsid w:val="00DB14FD"/>
    <w:rsid w:val="00DB1C41"/>
    <w:rsid w:val="00DB247F"/>
    <w:rsid w:val="00DB27F0"/>
    <w:rsid w:val="00DB3EF9"/>
    <w:rsid w:val="00DB4A86"/>
    <w:rsid w:val="00DB4DB6"/>
    <w:rsid w:val="00DB4E67"/>
    <w:rsid w:val="00DB6F57"/>
    <w:rsid w:val="00DB7C31"/>
    <w:rsid w:val="00DC0B05"/>
    <w:rsid w:val="00DC2666"/>
    <w:rsid w:val="00DC36FA"/>
    <w:rsid w:val="00DC6DE8"/>
    <w:rsid w:val="00DC722D"/>
    <w:rsid w:val="00DC780A"/>
    <w:rsid w:val="00DC7D04"/>
    <w:rsid w:val="00DC7F1D"/>
    <w:rsid w:val="00DD11B7"/>
    <w:rsid w:val="00DD12ED"/>
    <w:rsid w:val="00DD2F6D"/>
    <w:rsid w:val="00DD4E92"/>
    <w:rsid w:val="00DD52C1"/>
    <w:rsid w:val="00DD5AB4"/>
    <w:rsid w:val="00DD5C24"/>
    <w:rsid w:val="00DD6E83"/>
    <w:rsid w:val="00DE0F8E"/>
    <w:rsid w:val="00DE0FDD"/>
    <w:rsid w:val="00DE1548"/>
    <w:rsid w:val="00DE162D"/>
    <w:rsid w:val="00DE6305"/>
    <w:rsid w:val="00DE6A60"/>
    <w:rsid w:val="00DF193E"/>
    <w:rsid w:val="00DF2897"/>
    <w:rsid w:val="00DF2CA1"/>
    <w:rsid w:val="00DF3204"/>
    <w:rsid w:val="00DF6B2A"/>
    <w:rsid w:val="00DF71B8"/>
    <w:rsid w:val="00DF71BB"/>
    <w:rsid w:val="00DF72B4"/>
    <w:rsid w:val="00E00519"/>
    <w:rsid w:val="00E0084C"/>
    <w:rsid w:val="00E01812"/>
    <w:rsid w:val="00E01C88"/>
    <w:rsid w:val="00E035A8"/>
    <w:rsid w:val="00E03D18"/>
    <w:rsid w:val="00E065F6"/>
    <w:rsid w:val="00E069F0"/>
    <w:rsid w:val="00E06AC6"/>
    <w:rsid w:val="00E07620"/>
    <w:rsid w:val="00E078F7"/>
    <w:rsid w:val="00E105B9"/>
    <w:rsid w:val="00E10873"/>
    <w:rsid w:val="00E10CDB"/>
    <w:rsid w:val="00E119BE"/>
    <w:rsid w:val="00E14E4B"/>
    <w:rsid w:val="00E15D62"/>
    <w:rsid w:val="00E15DD7"/>
    <w:rsid w:val="00E17350"/>
    <w:rsid w:val="00E2001A"/>
    <w:rsid w:val="00E21E8F"/>
    <w:rsid w:val="00E26755"/>
    <w:rsid w:val="00E268BC"/>
    <w:rsid w:val="00E26EC4"/>
    <w:rsid w:val="00E31215"/>
    <w:rsid w:val="00E31E16"/>
    <w:rsid w:val="00E32ED2"/>
    <w:rsid w:val="00E3368F"/>
    <w:rsid w:val="00E33C89"/>
    <w:rsid w:val="00E34AEA"/>
    <w:rsid w:val="00E36F9C"/>
    <w:rsid w:val="00E3744B"/>
    <w:rsid w:val="00E37BFF"/>
    <w:rsid w:val="00E40286"/>
    <w:rsid w:val="00E40CFB"/>
    <w:rsid w:val="00E4119D"/>
    <w:rsid w:val="00E46267"/>
    <w:rsid w:val="00E479D7"/>
    <w:rsid w:val="00E50CBB"/>
    <w:rsid w:val="00E52155"/>
    <w:rsid w:val="00E53EEF"/>
    <w:rsid w:val="00E5414D"/>
    <w:rsid w:val="00E54F91"/>
    <w:rsid w:val="00E57C0C"/>
    <w:rsid w:val="00E60D84"/>
    <w:rsid w:val="00E67292"/>
    <w:rsid w:val="00E70F08"/>
    <w:rsid w:val="00E70FDF"/>
    <w:rsid w:val="00E72C43"/>
    <w:rsid w:val="00E730F4"/>
    <w:rsid w:val="00E74DBC"/>
    <w:rsid w:val="00E81ADD"/>
    <w:rsid w:val="00E8414B"/>
    <w:rsid w:val="00E85124"/>
    <w:rsid w:val="00E855FE"/>
    <w:rsid w:val="00E8738F"/>
    <w:rsid w:val="00E873A0"/>
    <w:rsid w:val="00E87AF7"/>
    <w:rsid w:val="00E9018F"/>
    <w:rsid w:val="00E90856"/>
    <w:rsid w:val="00E90FB4"/>
    <w:rsid w:val="00E91779"/>
    <w:rsid w:val="00E929B5"/>
    <w:rsid w:val="00E92B0C"/>
    <w:rsid w:val="00E94B99"/>
    <w:rsid w:val="00E960B2"/>
    <w:rsid w:val="00E96F91"/>
    <w:rsid w:val="00EA0B5D"/>
    <w:rsid w:val="00EA17B8"/>
    <w:rsid w:val="00EA4854"/>
    <w:rsid w:val="00EA4BD3"/>
    <w:rsid w:val="00EA58B5"/>
    <w:rsid w:val="00EA5E83"/>
    <w:rsid w:val="00EA7429"/>
    <w:rsid w:val="00EA7589"/>
    <w:rsid w:val="00EB020F"/>
    <w:rsid w:val="00EB0A81"/>
    <w:rsid w:val="00EB17D5"/>
    <w:rsid w:val="00EB2253"/>
    <w:rsid w:val="00EB3446"/>
    <w:rsid w:val="00EB61BC"/>
    <w:rsid w:val="00EC074A"/>
    <w:rsid w:val="00EC4F65"/>
    <w:rsid w:val="00EC5205"/>
    <w:rsid w:val="00EC5A75"/>
    <w:rsid w:val="00EC6136"/>
    <w:rsid w:val="00EC6572"/>
    <w:rsid w:val="00EC6C03"/>
    <w:rsid w:val="00EC7250"/>
    <w:rsid w:val="00EC7DD4"/>
    <w:rsid w:val="00ED1E09"/>
    <w:rsid w:val="00ED245B"/>
    <w:rsid w:val="00ED3541"/>
    <w:rsid w:val="00ED4244"/>
    <w:rsid w:val="00ED43FB"/>
    <w:rsid w:val="00ED4DF9"/>
    <w:rsid w:val="00ED553D"/>
    <w:rsid w:val="00ED5A47"/>
    <w:rsid w:val="00ED7870"/>
    <w:rsid w:val="00EE0AE8"/>
    <w:rsid w:val="00EE27A8"/>
    <w:rsid w:val="00EE3CE2"/>
    <w:rsid w:val="00EE4F38"/>
    <w:rsid w:val="00EE50C2"/>
    <w:rsid w:val="00EE7123"/>
    <w:rsid w:val="00EE7378"/>
    <w:rsid w:val="00EF08CB"/>
    <w:rsid w:val="00EF2E0B"/>
    <w:rsid w:val="00EF3E43"/>
    <w:rsid w:val="00EF422D"/>
    <w:rsid w:val="00EF5249"/>
    <w:rsid w:val="00EF6478"/>
    <w:rsid w:val="00EF6CAA"/>
    <w:rsid w:val="00EF7461"/>
    <w:rsid w:val="00F0021A"/>
    <w:rsid w:val="00F003EA"/>
    <w:rsid w:val="00F005C8"/>
    <w:rsid w:val="00F0167B"/>
    <w:rsid w:val="00F01A74"/>
    <w:rsid w:val="00F03A62"/>
    <w:rsid w:val="00F046AD"/>
    <w:rsid w:val="00F05350"/>
    <w:rsid w:val="00F070A1"/>
    <w:rsid w:val="00F10361"/>
    <w:rsid w:val="00F13074"/>
    <w:rsid w:val="00F150F0"/>
    <w:rsid w:val="00F15E48"/>
    <w:rsid w:val="00F15F92"/>
    <w:rsid w:val="00F16D64"/>
    <w:rsid w:val="00F17824"/>
    <w:rsid w:val="00F20DC9"/>
    <w:rsid w:val="00F21526"/>
    <w:rsid w:val="00F21996"/>
    <w:rsid w:val="00F23372"/>
    <w:rsid w:val="00F25B1E"/>
    <w:rsid w:val="00F25D05"/>
    <w:rsid w:val="00F26BF8"/>
    <w:rsid w:val="00F27D00"/>
    <w:rsid w:val="00F33FAD"/>
    <w:rsid w:val="00F344BA"/>
    <w:rsid w:val="00F35096"/>
    <w:rsid w:val="00F35284"/>
    <w:rsid w:val="00F36992"/>
    <w:rsid w:val="00F420B2"/>
    <w:rsid w:val="00F42326"/>
    <w:rsid w:val="00F42B95"/>
    <w:rsid w:val="00F42CDB"/>
    <w:rsid w:val="00F452E9"/>
    <w:rsid w:val="00F4602E"/>
    <w:rsid w:val="00F47A0D"/>
    <w:rsid w:val="00F50810"/>
    <w:rsid w:val="00F50C42"/>
    <w:rsid w:val="00F52789"/>
    <w:rsid w:val="00F54921"/>
    <w:rsid w:val="00F550E1"/>
    <w:rsid w:val="00F561A3"/>
    <w:rsid w:val="00F57E60"/>
    <w:rsid w:val="00F602AB"/>
    <w:rsid w:val="00F60FAE"/>
    <w:rsid w:val="00F615C0"/>
    <w:rsid w:val="00F61AE4"/>
    <w:rsid w:val="00F6380A"/>
    <w:rsid w:val="00F65C97"/>
    <w:rsid w:val="00F6681E"/>
    <w:rsid w:val="00F66FB7"/>
    <w:rsid w:val="00F70CC0"/>
    <w:rsid w:val="00F758E9"/>
    <w:rsid w:val="00F75A41"/>
    <w:rsid w:val="00F75EBA"/>
    <w:rsid w:val="00F778A2"/>
    <w:rsid w:val="00F800AC"/>
    <w:rsid w:val="00F817DB"/>
    <w:rsid w:val="00F83925"/>
    <w:rsid w:val="00F8418F"/>
    <w:rsid w:val="00F84637"/>
    <w:rsid w:val="00F85811"/>
    <w:rsid w:val="00F901A3"/>
    <w:rsid w:val="00F91437"/>
    <w:rsid w:val="00F91523"/>
    <w:rsid w:val="00FA1D17"/>
    <w:rsid w:val="00FA39A3"/>
    <w:rsid w:val="00FA3F76"/>
    <w:rsid w:val="00FA4089"/>
    <w:rsid w:val="00FA5129"/>
    <w:rsid w:val="00FA584E"/>
    <w:rsid w:val="00FB02E6"/>
    <w:rsid w:val="00FB14A9"/>
    <w:rsid w:val="00FB47D2"/>
    <w:rsid w:val="00FB623E"/>
    <w:rsid w:val="00FB65E1"/>
    <w:rsid w:val="00FB7497"/>
    <w:rsid w:val="00FB7975"/>
    <w:rsid w:val="00FC007D"/>
    <w:rsid w:val="00FC015F"/>
    <w:rsid w:val="00FC147C"/>
    <w:rsid w:val="00FC32DD"/>
    <w:rsid w:val="00FC4C62"/>
    <w:rsid w:val="00FC6060"/>
    <w:rsid w:val="00FC7326"/>
    <w:rsid w:val="00FD064A"/>
    <w:rsid w:val="00FD3CCE"/>
    <w:rsid w:val="00FD50E7"/>
    <w:rsid w:val="00FD5A08"/>
    <w:rsid w:val="00FD6A32"/>
    <w:rsid w:val="00FD7C4F"/>
    <w:rsid w:val="00FE0D41"/>
    <w:rsid w:val="00FE21AA"/>
    <w:rsid w:val="00FE30D7"/>
    <w:rsid w:val="00FE4357"/>
    <w:rsid w:val="00FE4991"/>
    <w:rsid w:val="00FE523A"/>
    <w:rsid w:val="00FF02F5"/>
    <w:rsid w:val="00FF1B67"/>
    <w:rsid w:val="00FF2D7B"/>
    <w:rsid w:val="00FF39AE"/>
    <w:rsid w:val="00FF3BFA"/>
    <w:rsid w:val="00FF3F81"/>
    <w:rsid w:val="00FF4E75"/>
    <w:rsid w:val="00FF5451"/>
    <w:rsid w:val="03A808CA"/>
    <w:rsid w:val="0A9E4D83"/>
    <w:rsid w:val="0C37362F"/>
    <w:rsid w:val="19FD04B8"/>
    <w:rsid w:val="1C451E3D"/>
    <w:rsid w:val="1D76363A"/>
    <w:rsid w:val="1F713472"/>
    <w:rsid w:val="216910C4"/>
    <w:rsid w:val="229F1AAE"/>
    <w:rsid w:val="26E16877"/>
    <w:rsid w:val="295578B5"/>
    <w:rsid w:val="2DC37B36"/>
    <w:rsid w:val="30284B26"/>
    <w:rsid w:val="31601FF1"/>
    <w:rsid w:val="34293CAE"/>
    <w:rsid w:val="3477598C"/>
    <w:rsid w:val="3AB713B3"/>
    <w:rsid w:val="3B236596"/>
    <w:rsid w:val="416852ED"/>
    <w:rsid w:val="435D613A"/>
    <w:rsid w:val="49A55670"/>
    <w:rsid w:val="4CAD69B4"/>
    <w:rsid w:val="4F0110FF"/>
    <w:rsid w:val="4F9804C1"/>
    <w:rsid w:val="518146C6"/>
    <w:rsid w:val="522B09C4"/>
    <w:rsid w:val="52C05A5D"/>
    <w:rsid w:val="61B909BD"/>
    <w:rsid w:val="62174E8C"/>
    <w:rsid w:val="64AC1FD8"/>
    <w:rsid w:val="684624DD"/>
    <w:rsid w:val="69581322"/>
    <w:rsid w:val="696B2E80"/>
    <w:rsid w:val="6AE65B9F"/>
    <w:rsid w:val="73FB5571"/>
    <w:rsid w:val="78404BFF"/>
    <w:rsid w:val="7D5C02E1"/>
    <w:rsid w:val="7D672C54"/>
    <w:rsid w:val="7FAF22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paragraph" w:styleId="2">
    <w:name w:val="heading 2"/>
    <w:basedOn w:val="1"/>
    <w:next w:val="1"/>
    <w:link w:val="13"/>
    <w:unhideWhenUsed/>
    <w:qFormat/>
    <w:uiPriority w:val="0"/>
    <w:pPr>
      <w:keepNext/>
      <w:keepLines/>
      <w:spacing w:before="260" w:after="260" w:line="416" w:lineRule="auto"/>
      <w:outlineLvl w:val="1"/>
    </w:pPr>
    <w:rPr>
      <w:rFonts w:ascii="等线 Light" w:hAnsi="等线 Light" w:eastAsia="等线 Light"/>
      <w:b/>
      <w:bCs/>
      <w:sz w:val="32"/>
      <w:szCs w:val="32"/>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4"/>
    <w:uiPriority w:val="0"/>
    <w:pPr>
      <w:jc w:val="left"/>
    </w:pPr>
  </w:style>
  <w:style w:type="paragraph" w:styleId="4">
    <w:name w:val="Balloon Text"/>
    <w:basedOn w:val="1"/>
    <w:link w:val="17"/>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iPriority w:val="0"/>
    <w:rPr>
      <w:rFonts w:ascii="Times New Roman" w:hAnsi="Times New Roman"/>
      <w:sz w:val="24"/>
      <w:szCs w:val="24"/>
    </w:rPr>
  </w:style>
  <w:style w:type="paragraph" w:styleId="8">
    <w:name w:val="annotation subject"/>
    <w:basedOn w:val="3"/>
    <w:next w:val="3"/>
    <w:link w:val="15"/>
    <w:qFormat/>
    <w:uiPriority w:val="0"/>
    <w:rPr>
      <w:b/>
      <w:bCs/>
    </w:r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标题 2 Char"/>
    <w:link w:val="2"/>
    <w:semiHidden/>
    <w:qFormat/>
    <w:uiPriority w:val="0"/>
    <w:rPr>
      <w:rFonts w:ascii="等线 Light" w:hAnsi="等线 Light" w:eastAsia="等线 Light" w:cs="Times New Roman"/>
      <w:b/>
      <w:bCs/>
      <w:kern w:val="2"/>
      <w:sz w:val="32"/>
      <w:szCs w:val="32"/>
    </w:rPr>
  </w:style>
  <w:style w:type="character" w:customStyle="1" w:styleId="14">
    <w:name w:val="批注文字 Char"/>
    <w:link w:val="3"/>
    <w:qFormat/>
    <w:uiPriority w:val="0"/>
    <w:rPr>
      <w:kern w:val="2"/>
      <w:sz w:val="21"/>
    </w:rPr>
  </w:style>
  <w:style w:type="character" w:customStyle="1" w:styleId="15">
    <w:name w:val="批注主题 Char"/>
    <w:link w:val="8"/>
    <w:uiPriority w:val="0"/>
    <w:rPr>
      <w:b/>
      <w:bCs/>
      <w:kern w:val="2"/>
      <w:sz w:val="21"/>
    </w:rPr>
  </w:style>
  <w:style w:type="paragraph" w:customStyle="1" w:styleId="16">
    <w:name w:val="_Style 14"/>
    <w:unhideWhenUsed/>
    <w:qFormat/>
    <w:uiPriority w:val="99"/>
    <w:rPr>
      <w:rFonts w:ascii="Calibri" w:hAnsi="Calibri" w:eastAsia="宋体" w:cs="Times New Roman"/>
      <w:kern w:val="2"/>
      <w:sz w:val="21"/>
      <w:lang w:val="en-US" w:eastAsia="zh-CN" w:bidi="ar-SA"/>
    </w:rPr>
  </w:style>
  <w:style w:type="character" w:customStyle="1" w:styleId="17">
    <w:name w:val="批注框文本 Char"/>
    <w:basedOn w:val="10"/>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9</Pages>
  <Words>4363</Words>
  <Characters>4363</Characters>
  <Lines>1</Lines>
  <Paragraphs>8</Paragraphs>
  <TotalTime>2</TotalTime>
  <ScaleCrop>false</ScaleCrop>
  <LinksUpToDate>false</LinksUpToDate>
  <CharactersWithSpaces>4406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2024-02-05T07:33:00Z</dcterms:created>
  <dc:creator>Administrator</dc:creator>
  <cp:lastModifiedBy>VNE</cp:lastModifiedBy>
  <dcterms:modified xsi:type="dcterms:W3CDTF">2025-03-28T09:29:11Z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1BD421ECC7B74484A8078B2C85F1DED1</vt:lpwstr>
  </property>
  <property fmtid="{D5CDD505-2E9C-101B-9397-08002B2CF9AE}" pid="4" name="KSOTemplateDocerSaveRecord">
    <vt:lpwstr>eyJoZGlkIjoiMTIwYmI3YTRiN2Q4ZjdkODA3ZGExODU0ZGMxMjExZDEiLCJ1c2VySWQiOiIxOTI5NjIyMjMifQ==</vt:lpwstr>
  </property>
</Properties>
</file>