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BEF35">
      <w:pPr>
        <w:pStyle w:val="22"/>
        <w:rPr>
          <w:rFonts w:hint="default"/>
        </w:rPr>
      </w:pPr>
      <w:r>
        <w:t>附件</w:t>
      </w:r>
    </w:p>
    <w:p w14:paraId="7894E884">
      <w:pPr>
        <w:pStyle w:val="20"/>
        <w:rPr>
          <w:rFonts w:hint="default"/>
        </w:rPr>
      </w:pPr>
      <w:r>
        <w:rPr>
          <w:rFonts w:hint="eastAsia"/>
        </w:rPr>
        <w:t>2026年半年度第三支柱信息披露报告</w:t>
      </w:r>
    </w:p>
    <w:p w14:paraId="5240FBAE">
      <w:pPr>
        <w:pStyle w:val="21"/>
        <w:bidi w:val="0"/>
      </w:pPr>
      <w:r>
        <w:t>1 引言</w:t>
      </w:r>
    </w:p>
    <w:p w14:paraId="0511406E">
      <w:pPr>
        <w:pStyle w:val="21"/>
        <w:bidi w:val="0"/>
      </w:pPr>
      <w:r>
        <w:t>1.1 披露依据</w:t>
      </w:r>
    </w:p>
    <w:p w14:paraId="35B53B33">
      <w:pPr>
        <w:pStyle w:val="17"/>
        <w:bidi w:val="0"/>
      </w:pPr>
      <w:r>
        <w:t>本报告根据国家金融监督管理总局令第4号《商业银行资本管理办法》编制并披露。</w:t>
      </w:r>
    </w:p>
    <w:p w14:paraId="35EB35CF">
      <w:pPr>
        <w:pStyle w:val="21"/>
        <w:bidi w:val="0"/>
      </w:pPr>
      <w:r>
        <w:t>1.2 披露声明</w:t>
      </w:r>
    </w:p>
    <w:p w14:paraId="7AAD9EE0">
      <w:pPr>
        <w:pStyle w:val="17"/>
        <w:bidi w:val="0"/>
      </w:pPr>
      <w:r>
        <w:t>本行已建立第三支柱信息披露管理治理架构，由董事会批准并由高级管理层实施有效的内部控制流程，对信息披露内容进行合理审查，确保第三支柱披露信息真实、可靠。本报告是按照国家金融监督管理总局《商业银行资本管理办法》第九章信息披露及附件22商业银行信息披露内容和要求编制，而非财务会计准则。因此，报告中的部分资料并不能与同期财务报告的信息直接进行比较。</w:t>
      </w:r>
    </w:p>
    <w:p w14:paraId="184A5115">
      <w:pPr>
        <w:pStyle w:val="21"/>
        <w:bidi w:val="0"/>
      </w:pPr>
      <w:r>
        <w:t>2 风险管理、关键审慎监管指标和风险加权资产概览</w:t>
      </w:r>
    </w:p>
    <w:p w14:paraId="16E8C1F0">
      <w:pPr>
        <w:pStyle w:val="21"/>
        <w:bidi w:val="0"/>
      </w:pPr>
      <w:r>
        <w:t xml:space="preserve">2.1 监管并表关键审慎监管指标 </w:t>
      </w:r>
    </w:p>
    <w:p w14:paraId="28CAA574">
      <w:pPr>
        <w:pStyle w:val="6"/>
        <w:spacing w:before="231" w:line="345" w:lineRule="auto"/>
        <w:ind w:left="124" w:right="112" w:firstLine="480"/>
        <w:jc w:val="both"/>
        <w:rPr>
          <w:rFonts w:hint="eastAsia" w:ascii="Arial Narrow" w:hAnsi="Arial Narrow" w:eastAsia="仿宋_GB2312" w:cs="仿宋"/>
          <w:kern w:val="0"/>
          <w:sz w:val="32"/>
          <w:szCs w:val="32"/>
          <w:lang w:val="en-US" w:eastAsia="zh-CN" w:bidi="ar-SA"/>
        </w:rPr>
      </w:pPr>
      <w:r>
        <w:rPr>
          <w:rFonts w:hint="eastAsia" w:ascii="Arial Narrow" w:hAnsi="Arial Narrow" w:eastAsia="仿宋_GB2312" w:cs="仿宋"/>
          <w:kern w:val="0"/>
          <w:sz w:val="32"/>
          <w:szCs w:val="32"/>
          <w:lang w:val="en-US" w:eastAsia="zh-CN" w:bidi="ar-SA"/>
        </w:rPr>
        <w:t>监管并表关键审慎监管指标包括资本、风险加权资产、杠杆率、流动性覆盖率和净稳定资金比例等相关的指标。本行监管并表关键审慎监管指标概览如下：</w:t>
      </w:r>
    </w:p>
    <w:p w14:paraId="0D122EB3">
      <w:pPr>
        <w:pStyle w:val="6"/>
        <w:spacing w:before="231" w:line="345" w:lineRule="auto"/>
        <w:ind w:right="112"/>
        <w:jc w:val="center"/>
        <w:rPr>
          <w:rFonts w:hint="eastAsia" w:ascii="Arial Narrow" w:hAnsi="Arial Narrow" w:eastAsia="仿宋_GB2312" w:cs="仿宋"/>
          <w:b/>
          <w:bCs/>
          <w:kern w:val="0"/>
          <w:sz w:val="32"/>
          <w:szCs w:val="32"/>
          <w:lang w:val="en-US" w:eastAsia="zh-CN" w:bidi="ar-SA"/>
        </w:rPr>
      </w:pPr>
      <w:r>
        <w:rPr>
          <w:rFonts w:hint="eastAsia" w:ascii="Arial Narrow" w:hAnsi="Arial Narrow" w:eastAsia="仿宋_GB2312" w:cs="仿宋"/>
          <w:b/>
          <w:bCs/>
          <w:kern w:val="0"/>
          <w:sz w:val="32"/>
          <w:szCs w:val="32"/>
          <w:lang w:val="en-US" w:eastAsia="zh-CN" w:bidi="ar-SA"/>
        </w:rPr>
        <w:t>表格 KM1：监管并表关键审慎监管指标</w:t>
      </w:r>
    </w:p>
    <w:p w14:paraId="7CD11209">
      <w:pPr>
        <w:pStyle w:val="6"/>
        <w:spacing w:before="231" w:line="345" w:lineRule="auto"/>
        <w:ind w:right="112"/>
        <w:jc w:val="right"/>
        <w:rPr>
          <w:rFonts w:hint="eastAsia" w:ascii="Arial Narrow" w:hAnsi="Arial Narrow" w:eastAsia="仿宋_GB2312" w:cs="仿宋"/>
          <w:kern w:val="0"/>
          <w:sz w:val="32"/>
          <w:szCs w:val="32"/>
          <w:lang w:val="en-US" w:eastAsia="zh-CN" w:bidi="ar-SA"/>
        </w:rPr>
      </w:pPr>
      <w:r>
        <w:rPr>
          <w:rFonts w:hint="eastAsia" w:ascii="Arial Narrow" w:hAnsi="Arial Narrow" w:eastAsia="仿宋_GB2312" w:cs="仿宋"/>
          <w:kern w:val="0"/>
          <w:sz w:val="32"/>
          <w:szCs w:val="32"/>
          <w:lang w:val="en-US" w:eastAsia="zh-CN" w:bidi="ar-SA"/>
        </w:rPr>
        <w:t>单位：人民币万元</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4"/>
        <w:gridCol w:w="1221"/>
        <w:gridCol w:w="1358"/>
        <w:gridCol w:w="1358"/>
        <w:gridCol w:w="1358"/>
        <w:gridCol w:w="1358"/>
        <w:gridCol w:w="1362"/>
      </w:tblGrid>
      <w:tr w14:paraId="0E44B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3" w:hRule="atLeast"/>
          <w:jc w:val="center"/>
        </w:trPr>
        <w:tc>
          <w:tcPr>
            <w:tcW w:w="98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366C193C">
            <w:pPr>
              <w:keepNext w:val="0"/>
              <w:keepLines w:val="0"/>
              <w:pageBreakBefore w:val="0"/>
              <w:kinsoku/>
              <w:wordWrap/>
              <w:overflowPunct/>
              <w:topLinePunct w:val="0"/>
              <w:autoSpaceDE/>
              <w:autoSpaceDN/>
              <w:bidi w:val="0"/>
              <w:adjustRightInd/>
              <w:snapToGrid/>
              <w:rPr>
                <w:rFonts w:hint="eastAsia" w:ascii="Arial Narrow" w:hAnsi="Arial Narrow" w:eastAsia="仿宋_GB2312" w:cs="宋体"/>
                <w:b/>
                <w:bCs/>
                <w:i w:val="0"/>
                <w:iCs w:val="0"/>
                <w:color w:val="000000"/>
                <w:sz w:val="21"/>
                <w:szCs w:val="22"/>
                <w:u w:val="none"/>
              </w:rPr>
            </w:pPr>
          </w:p>
        </w:tc>
        <w:tc>
          <w:tcPr>
            <w:tcW w:w="803" w:type="pct"/>
            <w:tcBorders>
              <w:top w:val="single" w:color="000000" w:sz="8" w:space="0"/>
              <w:left w:val="nil"/>
              <w:bottom w:val="single" w:color="000000" w:sz="8" w:space="0"/>
              <w:right w:val="single" w:color="000000" w:sz="8" w:space="0"/>
            </w:tcBorders>
            <w:noWrap w:val="0"/>
            <w:vAlign w:val="center"/>
          </w:tcPr>
          <w:p w14:paraId="526C6E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a</w:t>
            </w:r>
          </w:p>
        </w:tc>
        <w:tc>
          <w:tcPr>
            <w:tcW w:w="803" w:type="pct"/>
            <w:tcBorders>
              <w:top w:val="single" w:color="000000" w:sz="8" w:space="0"/>
              <w:left w:val="nil"/>
              <w:bottom w:val="single" w:color="000000" w:sz="8" w:space="0"/>
              <w:right w:val="single" w:color="000000" w:sz="8" w:space="0"/>
            </w:tcBorders>
            <w:noWrap w:val="0"/>
            <w:vAlign w:val="center"/>
          </w:tcPr>
          <w:p w14:paraId="5B50DC5A">
            <w:pPr>
              <w:keepNext w:val="0"/>
              <w:keepLines w:val="0"/>
              <w:pageBreakBefore w:val="0"/>
              <w:widowControl/>
              <w:suppressLineNumbers w:val="0"/>
              <w:kinsoku/>
              <w:wordWrap/>
              <w:overflowPunct/>
              <w:topLinePunct w:val="0"/>
              <w:autoSpaceDE/>
              <w:autoSpaceDN/>
              <w:bidi w:val="0"/>
              <w:adjustRightInd/>
              <w:snapToGrid/>
              <w:ind w:firstLineChars="300"/>
              <w:jc w:val="left"/>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b</w:t>
            </w:r>
          </w:p>
        </w:tc>
        <w:tc>
          <w:tcPr>
            <w:tcW w:w="803" w:type="pct"/>
            <w:tcBorders>
              <w:top w:val="single" w:color="000000" w:sz="8" w:space="0"/>
              <w:left w:val="nil"/>
              <w:bottom w:val="single" w:color="000000" w:sz="8" w:space="0"/>
              <w:right w:val="single" w:color="000000" w:sz="8" w:space="0"/>
            </w:tcBorders>
            <w:noWrap w:val="0"/>
            <w:vAlign w:val="center"/>
          </w:tcPr>
          <w:p w14:paraId="01896843">
            <w:pPr>
              <w:keepNext w:val="0"/>
              <w:keepLines w:val="0"/>
              <w:pageBreakBefore w:val="0"/>
              <w:widowControl/>
              <w:suppressLineNumbers w:val="0"/>
              <w:kinsoku/>
              <w:wordWrap/>
              <w:overflowPunct/>
              <w:topLinePunct w:val="0"/>
              <w:autoSpaceDE/>
              <w:autoSpaceDN/>
              <w:bidi w:val="0"/>
              <w:adjustRightInd/>
              <w:snapToGrid/>
              <w:ind w:firstLineChars="300"/>
              <w:jc w:val="left"/>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c</w:t>
            </w:r>
          </w:p>
        </w:tc>
        <w:tc>
          <w:tcPr>
            <w:tcW w:w="803" w:type="pct"/>
            <w:tcBorders>
              <w:top w:val="single" w:color="000000" w:sz="8" w:space="0"/>
              <w:left w:val="nil"/>
              <w:bottom w:val="single" w:color="000000" w:sz="8" w:space="0"/>
              <w:right w:val="single" w:color="000000" w:sz="8" w:space="0"/>
            </w:tcBorders>
            <w:noWrap w:val="0"/>
            <w:vAlign w:val="center"/>
          </w:tcPr>
          <w:p w14:paraId="0043643F">
            <w:pPr>
              <w:keepNext w:val="0"/>
              <w:keepLines w:val="0"/>
              <w:pageBreakBefore w:val="0"/>
              <w:widowControl/>
              <w:suppressLineNumbers w:val="0"/>
              <w:kinsoku/>
              <w:wordWrap/>
              <w:overflowPunct/>
              <w:topLinePunct w:val="0"/>
              <w:autoSpaceDE/>
              <w:autoSpaceDN/>
              <w:bidi w:val="0"/>
              <w:adjustRightInd/>
              <w:snapToGrid/>
              <w:ind w:firstLineChars="300"/>
              <w:jc w:val="left"/>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d</w:t>
            </w:r>
          </w:p>
        </w:tc>
        <w:tc>
          <w:tcPr>
            <w:tcW w:w="803" w:type="pct"/>
            <w:tcBorders>
              <w:top w:val="single" w:color="000000" w:sz="8" w:space="0"/>
              <w:left w:val="nil"/>
              <w:bottom w:val="single" w:color="000000" w:sz="8" w:space="0"/>
              <w:right w:val="single" w:color="000000" w:sz="8" w:space="0"/>
            </w:tcBorders>
            <w:noWrap w:val="0"/>
            <w:vAlign w:val="center"/>
          </w:tcPr>
          <w:p w14:paraId="0D4FFC31">
            <w:pPr>
              <w:keepNext w:val="0"/>
              <w:keepLines w:val="0"/>
              <w:pageBreakBefore w:val="0"/>
              <w:widowControl/>
              <w:suppressLineNumbers w:val="0"/>
              <w:kinsoku/>
              <w:wordWrap/>
              <w:overflowPunct/>
              <w:topLinePunct w:val="0"/>
              <w:autoSpaceDE/>
              <w:autoSpaceDN/>
              <w:bidi w:val="0"/>
              <w:adjustRightInd/>
              <w:snapToGrid/>
              <w:ind w:firstLineChars="300"/>
              <w:jc w:val="left"/>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e</w:t>
            </w:r>
          </w:p>
        </w:tc>
      </w:tr>
      <w:tr w14:paraId="4C52D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98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BBB2D48">
            <w:pPr>
              <w:keepNext w:val="0"/>
              <w:keepLines w:val="0"/>
              <w:pageBreakBefore w:val="0"/>
              <w:kinsoku/>
              <w:wordWrap/>
              <w:overflowPunct/>
              <w:topLinePunct w:val="0"/>
              <w:autoSpaceDE/>
              <w:autoSpaceDN/>
              <w:bidi w:val="0"/>
              <w:adjustRightInd/>
              <w:snapToGrid/>
              <w:rPr>
                <w:rFonts w:hint="eastAsia" w:ascii="Arial Narrow" w:hAnsi="Arial Narrow" w:eastAsia="仿宋_GB2312" w:cs="宋体"/>
                <w:b/>
                <w:bCs/>
                <w:i w:val="0"/>
                <w:iCs w:val="0"/>
                <w:color w:val="000000"/>
                <w:sz w:val="21"/>
                <w:szCs w:val="22"/>
                <w:u w:val="none"/>
              </w:rPr>
            </w:pPr>
          </w:p>
        </w:tc>
        <w:tc>
          <w:tcPr>
            <w:tcW w:w="803" w:type="pct"/>
            <w:tcBorders>
              <w:top w:val="nil"/>
              <w:left w:val="nil"/>
              <w:bottom w:val="single" w:color="000000" w:sz="8" w:space="0"/>
              <w:right w:val="single" w:color="000000" w:sz="8" w:space="0"/>
            </w:tcBorders>
            <w:noWrap w:val="0"/>
            <w:vAlign w:val="center"/>
          </w:tcPr>
          <w:p w14:paraId="47F059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2026年6月30日</w:t>
            </w:r>
          </w:p>
        </w:tc>
        <w:tc>
          <w:tcPr>
            <w:tcW w:w="803" w:type="pct"/>
            <w:tcBorders>
              <w:top w:val="nil"/>
              <w:left w:val="nil"/>
              <w:bottom w:val="single" w:color="000000" w:sz="8" w:space="0"/>
              <w:right w:val="single" w:color="000000" w:sz="8" w:space="0"/>
            </w:tcBorders>
            <w:noWrap w:val="0"/>
            <w:vAlign w:val="center"/>
          </w:tcPr>
          <w:p w14:paraId="2CA948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2026年3月31日</w:t>
            </w:r>
          </w:p>
        </w:tc>
        <w:tc>
          <w:tcPr>
            <w:tcW w:w="803" w:type="pct"/>
            <w:tcBorders>
              <w:top w:val="nil"/>
              <w:left w:val="nil"/>
              <w:bottom w:val="single" w:color="000000" w:sz="8" w:space="0"/>
              <w:right w:val="single" w:color="000000" w:sz="8" w:space="0"/>
            </w:tcBorders>
            <w:noWrap w:val="0"/>
            <w:vAlign w:val="center"/>
          </w:tcPr>
          <w:p w14:paraId="174B31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2025年12月31日</w:t>
            </w:r>
          </w:p>
        </w:tc>
        <w:tc>
          <w:tcPr>
            <w:tcW w:w="803" w:type="pct"/>
            <w:tcBorders>
              <w:top w:val="nil"/>
              <w:left w:val="nil"/>
              <w:bottom w:val="single" w:color="000000" w:sz="8" w:space="0"/>
              <w:right w:val="single" w:color="000000" w:sz="8" w:space="0"/>
            </w:tcBorders>
            <w:noWrap w:val="0"/>
            <w:vAlign w:val="center"/>
          </w:tcPr>
          <w:p w14:paraId="7F40BE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2025年9月30日</w:t>
            </w:r>
          </w:p>
        </w:tc>
        <w:tc>
          <w:tcPr>
            <w:tcW w:w="803" w:type="pct"/>
            <w:tcBorders>
              <w:top w:val="nil"/>
              <w:left w:val="nil"/>
              <w:bottom w:val="single" w:color="000000" w:sz="8" w:space="0"/>
              <w:right w:val="single" w:color="000000" w:sz="8" w:space="0"/>
            </w:tcBorders>
            <w:noWrap w:val="0"/>
            <w:vAlign w:val="center"/>
          </w:tcPr>
          <w:p w14:paraId="7D0DD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b/>
                <w:bCs/>
                <w:i w:val="0"/>
                <w:iCs w:val="0"/>
                <w:color w:val="000000"/>
                <w:sz w:val="21"/>
                <w:szCs w:val="20"/>
                <w:u w:val="none"/>
              </w:rPr>
            </w:pPr>
            <w:r>
              <w:rPr>
                <w:rFonts w:hint="default" w:ascii="Arial Narrow" w:hAnsi="Arial Narrow" w:eastAsia="仿宋_GB2312" w:cs="Times New Roman"/>
                <w:b/>
                <w:bCs/>
                <w:i w:val="0"/>
                <w:iCs w:val="0"/>
                <w:color w:val="000000"/>
                <w:kern w:val="0"/>
                <w:sz w:val="21"/>
                <w:szCs w:val="20"/>
                <w:u w:val="none"/>
                <w:lang w:val="en-US" w:eastAsia="zh-CN" w:bidi="ar"/>
              </w:rPr>
              <w:t>2025年6月30日</w:t>
            </w:r>
          </w:p>
        </w:tc>
      </w:tr>
      <w:tr w14:paraId="3DB3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36C8B7DE">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4F0210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可用资本（数额）</w:t>
            </w:r>
          </w:p>
        </w:tc>
      </w:tr>
      <w:tr w14:paraId="4351D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51F5F1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13E56A5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核心一级资本净额</w:t>
            </w:r>
          </w:p>
        </w:tc>
        <w:tc>
          <w:tcPr>
            <w:tcW w:w="803" w:type="pct"/>
            <w:tcBorders>
              <w:top w:val="single" w:color="000000" w:sz="8" w:space="0"/>
              <w:left w:val="nil"/>
              <w:bottom w:val="single" w:color="000000" w:sz="8" w:space="0"/>
              <w:right w:val="single" w:color="000000" w:sz="8" w:space="0"/>
            </w:tcBorders>
            <w:noWrap w:val="0"/>
            <w:vAlign w:val="center"/>
          </w:tcPr>
          <w:p w14:paraId="072A06A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2015906.22</w:t>
            </w:r>
          </w:p>
        </w:tc>
        <w:tc>
          <w:tcPr>
            <w:tcW w:w="803" w:type="pct"/>
            <w:tcBorders>
              <w:top w:val="single" w:color="000000" w:sz="8" w:space="0"/>
              <w:left w:val="nil"/>
              <w:bottom w:val="single" w:color="000000" w:sz="8" w:space="0"/>
              <w:right w:val="single" w:color="000000" w:sz="8" w:space="0"/>
            </w:tcBorders>
            <w:noWrap w:val="0"/>
            <w:vAlign w:val="center"/>
          </w:tcPr>
          <w:p w14:paraId="2C544CB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1982800.63</w:t>
            </w:r>
          </w:p>
        </w:tc>
        <w:tc>
          <w:tcPr>
            <w:tcW w:w="803" w:type="pct"/>
            <w:tcBorders>
              <w:top w:val="single" w:color="000000" w:sz="8" w:space="0"/>
              <w:left w:val="nil"/>
              <w:bottom w:val="single" w:color="000000" w:sz="8" w:space="0"/>
              <w:right w:val="single" w:color="000000" w:sz="8" w:space="0"/>
            </w:tcBorders>
            <w:noWrap w:val="0"/>
            <w:vAlign w:val="center"/>
          </w:tcPr>
          <w:p w14:paraId="11FBC49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1950537.67</w:t>
            </w:r>
          </w:p>
        </w:tc>
        <w:tc>
          <w:tcPr>
            <w:tcW w:w="803" w:type="pct"/>
            <w:tcBorders>
              <w:top w:val="single" w:color="000000" w:sz="8" w:space="0"/>
              <w:left w:val="nil"/>
              <w:bottom w:val="single" w:color="000000" w:sz="8" w:space="0"/>
              <w:right w:val="single" w:color="000000" w:sz="8" w:space="0"/>
            </w:tcBorders>
            <w:noWrap w:val="0"/>
            <w:vAlign w:val="center"/>
          </w:tcPr>
          <w:p w14:paraId="35DC2DA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1,912,729.55</w:t>
            </w:r>
          </w:p>
        </w:tc>
        <w:tc>
          <w:tcPr>
            <w:tcW w:w="803" w:type="pct"/>
            <w:tcBorders>
              <w:top w:val="single" w:color="000000" w:sz="8" w:space="0"/>
              <w:left w:val="nil"/>
              <w:bottom w:val="single" w:color="000000" w:sz="8" w:space="0"/>
              <w:right w:val="single" w:color="000000" w:sz="8" w:space="0"/>
            </w:tcBorders>
            <w:noWrap w:val="0"/>
            <w:vAlign w:val="center"/>
          </w:tcPr>
          <w:p w14:paraId="5A52AA8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1,893,277.93</w:t>
            </w:r>
          </w:p>
        </w:tc>
      </w:tr>
      <w:tr w14:paraId="1A62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7338C6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2</w:t>
            </w:r>
          </w:p>
        </w:tc>
        <w:tc>
          <w:tcPr>
            <w:tcW w:w="714" w:type="pct"/>
            <w:tcBorders>
              <w:top w:val="nil"/>
              <w:left w:val="nil"/>
              <w:bottom w:val="single" w:color="000000" w:sz="8" w:space="0"/>
              <w:right w:val="single" w:color="000000" w:sz="8" w:space="0"/>
            </w:tcBorders>
            <w:noWrap w:val="0"/>
            <w:vAlign w:val="center"/>
          </w:tcPr>
          <w:p w14:paraId="08D5CF4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一级资本净额</w:t>
            </w:r>
          </w:p>
        </w:tc>
        <w:tc>
          <w:tcPr>
            <w:tcW w:w="803" w:type="pct"/>
            <w:tcBorders>
              <w:top w:val="nil"/>
              <w:left w:val="nil"/>
              <w:bottom w:val="single" w:color="000000" w:sz="8" w:space="0"/>
              <w:right w:val="single" w:color="000000" w:sz="8" w:space="0"/>
            </w:tcBorders>
            <w:noWrap w:val="0"/>
            <w:vAlign w:val="center"/>
          </w:tcPr>
          <w:p w14:paraId="42253EB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2016231.97</w:t>
            </w:r>
          </w:p>
        </w:tc>
        <w:tc>
          <w:tcPr>
            <w:tcW w:w="803" w:type="pct"/>
            <w:tcBorders>
              <w:top w:val="nil"/>
              <w:left w:val="nil"/>
              <w:bottom w:val="single" w:color="000000" w:sz="8" w:space="0"/>
              <w:right w:val="single" w:color="000000" w:sz="8" w:space="0"/>
            </w:tcBorders>
            <w:noWrap w:val="0"/>
            <w:vAlign w:val="center"/>
          </w:tcPr>
          <w:p w14:paraId="5011DFD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1983339.88</w:t>
            </w:r>
          </w:p>
        </w:tc>
        <w:tc>
          <w:tcPr>
            <w:tcW w:w="803" w:type="pct"/>
            <w:tcBorders>
              <w:top w:val="nil"/>
              <w:left w:val="nil"/>
              <w:bottom w:val="single" w:color="000000" w:sz="8" w:space="0"/>
              <w:right w:val="single" w:color="000000" w:sz="8" w:space="0"/>
            </w:tcBorders>
            <w:noWrap w:val="0"/>
            <w:vAlign w:val="center"/>
          </w:tcPr>
          <w:p w14:paraId="2E1E16A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1951682.19</w:t>
            </w:r>
          </w:p>
        </w:tc>
        <w:tc>
          <w:tcPr>
            <w:tcW w:w="803" w:type="pct"/>
            <w:tcBorders>
              <w:top w:val="nil"/>
              <w:left w:val="nil"/>
              <w:bottom w:val="single" w:color="000000" w:sz="8" w:space="0"/>
              <w:right w:val="single" w:color="000000" w:sz="8" w:space="0"/>
            </w:tcBorders>
            <w:noWrap w:val="0"/>
            <w:vAlign w:val="center"/>
          </w:tcPr>
          <w:p w14:paraId="2CCC6D5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1,913,905.09</w:t>
            </w:r>
          </w:p>
        </w:tc>
        <w:tc>
          <w:tcPr>
            <w:tcW w:w="803" w:type="pct"/>
            <w:tcBorders>
              <w:top w:val="nil"/>
              <w:left w:val="nil"/>
              <w:bottom w:val="single" w:color="000000" w:sz="8" w:space="0"/>
              <w:right w:val="single" w:color="000000" w:sz="8" w:space="0"/>
            </w:tcBorders>
            <w:noWrap w:val="0"/>
            <w:vAlign w:val="center"/>
          </w:tcPr>
          <w:p w14:paraId="1E32FBA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1,894,432.93</w:t>
            </w:r>
          </w:p>
        </w:tc>
      </w:tr>
      <w:tr w14:paraId="1A024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10EE0D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3</w:t>
            </w:r>
          </w:p>
        </w:tc>
        <w:tc>
          <w:tcPr>
            <w:tcW w:w="714" w:type="pct"/>
            <w:tcBorders>
              <w:top w:val="nil"/>
              <w:left w:val="nil"/>
              <w:bottom w:val="single" w:color="000000" w:sz="8" w:space="0"/>
              <w:right w:val="single" w:color="000000" w:sz="8" w:space="0"/>
            </w:tcBorders>
            <w:noWrap w:val="0"/>
            <w:vAlign w:val="center"/>
          </w:tcPr>
          <w:p w14:paraId="562921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资本净额</w:t>
            </w:r>
          </w:p>
        </w:tc>
        <w:tc>
          <w:tcPr>
            <w:tcW w:w="803" w:type="pct"/>
            <w:tcBorders>
              <w:top w:val="nil"/>
              <w:left w:val="nil"/>
              <w:bottom w:val="single" w:color="000000" w:sz="8" w:space="0"/>
              <w:right w:val="single" w:color="000000" w:sz="8" w:space="0"/>
            </w:tcBorders>
            <w:noWrap w:val="0"/>
            <w:vAlign w:val="center"/>
          </w:tcPr>
          <w:p w14:paraId="0F58F49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2189337.73</w:t>
            </w:r>
          </w:p>
        </w:tc>
        <w:tc>
          <w:tcPr>
            <w:tcW w:w="803" w:type="pct"/>
            <w:tcBorders>
              <w:top w:val="nil"/>
              <w:left w:val="nil"/>
              <w:bottom w:val="single" w:color="000000" w:sz="8" w:space="0"/>
              <w:right w:val="single" w:color="000000" w:sz="8" w:space="0"/>
            </w:tcBorders>
            <w:noWrap w:val="0"/>
            <w:vAlign w:val="center"/>
          </w:tcPr>
          <w:p w14:paraId="71BDD51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2152886.95</w:t>
            </w:r>
          </w:p>
        </w:tc>
        <w:tc>
          <w:tcPr>
            <w:tcW w:w="803" w:type="pct"/>
            <w:tcBorders>
              <w:top w:val="nil"/>
              <w:left w:val="nil"/>
              <w:bottom w:val="single" w:color="000000" w:sz="8" w:space="0"/>
              <w:right w:val="single" w:color="000000" w:sz="8" w:space="0"/>
            </w:tcBorders>
            <w:noWrap w:val="0"/>
            <w:vAlign w:val="center"/>
          </w:tcPr>
          <w:p w14:paraId="3DB7E89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2114459.42</w:t>
            </w:r>
          </w:p>
        </w:tc>
        <w:tc>
          <w:tcPr>
            <w:tcW w:w="803" w:type="pct"/>
            <w:tcBorders>
              <w:top w:val="nil"/>
              <w:left w:val="nil"/>
              <w:bottom w:val="single" w:color="000000" w:sz="8" w:space="0"/>
              <w:right w:val="single" w:color="000000" w:sz="8" w:space="0"/>
            </w:tcBorders>
            <w:noWrap w:val="0"/>
            <w:vAlign w:val="center"/>
          </w:tcPr>
          <w:p w14:paraId="42A8B06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2,072,818.31</w:t>
            </w:r>
          </w:p>
        </w:tc>
        <w:tc>
          <w:tcPr>
            <w:tcW w:w="803" w:type="pct"/>
            <w:tcBorders>
              <w:top w:val="nil"/>
              <w:left w:val="nil"/>
              <w:bottom w:val="single" w:color="000000" w:sz="8" w:space="0"/>
              <w:right w:val="single" w:color="000000" w:sz="8" w:space="0"/>
            </w:tcBorders>
            <w:noWrap w:val="0"/>
            <w:vAlign w:val="center"/>
          </w:tcPr>
          <w:p w14:paraId="0A5398E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2,051,670.51</w:t>
            </w:r>
          </w:p>
        </w:tc>
      </w:tr>
      <w:tr w14:paraId="678C4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0B6E7741">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03F227A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风险加权资产（数额）</w:t>
            </w:r>
          </w:p>
        </w:tc>
      </w:tr>
      <w:tr w14:paraId="2554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42AFCD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4</w:t>
            </w:r>
          </w:p>
        </w:tc>
        <w:tc>
          <w:tcPr>
            <w:tcW w:w="714" w:type="pct"/>
            <w:tcBorders>
              <w:top w:val="nil"/>
              <w:left w:val="nil"/>
              <w:bottom w:val="single" w:color="000000" w:sz="8" w:space="0"/>
              <w:right w:val="single" w:color="000000" w:sz="8" w:space="0"/>
            </w:tcBorders>
            <w:noWrap w:val="0"/>
            <w:vAlign w:val="center"/>
          </w:tcPr>
          <w:p w14:paraId="3B825B9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风险加权资产</w:t>
            </w:r>
          </w:p>
        </w:tc>
        <w:tc>
          <w:tcPr>
            <w:tcW w:w="803" w:type="pct"/>
            <w:tcBorders>
              <w:top w:val="single" w:color="000000" w:sz="8" w:space="0"/>
              <w:left w:val="nil"/>
              <w:bottom w:val="single" w:color="000000" w:sz="8" w:space="0"/>
              <w:right w:val="single" w:color="000000" w:sz="8" w:space="0"/>
            </w:tcBorders>
            <w:noWrap w:val="0"/>
            <w:vAlign w:val="center"/>
          </w:tcPr>
          <w:p w14:paraId="1C2FFD6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15398067.37</w:t>
            </w:r>
          </w:p>
        </w:tc>
        <w:tc>
          <w:tcPr>
            <w:tcW w:w="803" w:type="pct"/>
            <w:tcBorders>
              <w:top w:val="single" w:color="000000" w:sz="8" w:space="0"/>
              <w:left w:val="nil"/>
              <w:bottom w:val="single" w:color="000000" w:sz="8" w:space="0"/>
              <w:right w:val="single" w:color="000000" w:sz="8" w:space="0"/>
            </w:tcBorders>
            <w:noWrap w:val="0"/>
            <w:vAlign w:val="center"/>
          </w:tcPr>
          <w:p w14:paraId="370D670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14809704.87</w:t>
            </w:r>
          </w:p>
        </w:tc>
        <w:tc>
          <w:tcPr>
            <w:tcW w:w="803" w:type="pct"/>
            <w:tcBorders>
              <w:top w:val="single" w:color="000000" w:sz="8" w:space="0"/>
              <w:left w:val="nil"/>
              <w:bottom w:val="single" w:color="000000" w:sz="8" w:space="0"/>
              <w:right w:val="single" w:color="000000" w:sz="8" w:space="0"/>
            </w:tcBorders>
            <w:noWrap w:val="0"/>
            <w:vAlign w:val="center"/>
          </w:tcPr>
          <w:p w14:paraId="3F835B7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14313558.97</w:t>
            </w:r>
          </w:p>
        </w:tc>
        <w:tc>
          <w:tcPr>
            <w:tcW w:w="803" w:type="pct"/>
            <w:tcBorders>
              <w:top w:val="single" w:color="000000" w:sz="8" w:space="0"/>
              <w:left w:val="nil"/>
              <w:bottom w:val="single" w:color="000000" w:sz="8" w:space="0"/>
              <w:right w:val="single" w:color="000000" w:sz="8" w:space="0"/>
            </w:tcBorders>
            <w:noWrap w:val="0"/>
            <w:vAlign w:val="center"/>
          </w:tcPr>
          <w:p w14:paraId="037ADA8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13,893,214.18</w:t>
            </w:r>
          </w:p>
        </w:tc>
        <w:tc>
          <w:tcPr>
            <w:tcW w:w="803" w:type="pct"/>
            <w:tcBorders>
              <w:top w:val="single" w:color="000000" w:sz="8" w:space="0"/>
              <w:left w:val="nil"/>
              <w:bottom w:val="single" w:color="000000" w:sz="8" w:space="0"/>
              <w:right w:val="single" w:color="000000" w:sz="8" w:space="0"/>
            </w:tcBorders>
            <w:noWrap w:val="0"/>
            <w:vAlign w:val="center"/>
          </w:tcPr>
          <w:p w14:paraId="5D47C18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13,782,023.65</w:t>
            </w:r>
          </w:p>
        </w:tc>
      </w:tr>
      <w:tr w14:paraId="7B8DC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530325C5">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7DA6062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资本充足率</w:t>
            </w:r>
          </w:p>
        </w:tc>
      </w:tr>
      <w:tr w14:paraId="377C6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4361A2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5</w:t>
            </w:r>
          </w:p>
        </w:tc>
        <w:tc>
          <w:tcPr>
            <w:tcW w:w="714" w:type="pct"/>
            <w:tcBorders>
              <w:top w:val="nil"/>
              <w:left w:val="nil"/>
              <w:bottom w:val="single" w:color="000000" w:sz="8" w:space="0"/>
              <w:right w:val="single" w:color="000000" w:sz="8" w:space="0"/>
            </w:tcBorders>
            <w:noWrap w:val="0"/>
            <w:vAlign w:val="center"/>
          </w:tcPr>
          <w:p w14:paraId="4D93903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核心一级资本充足率（%）</w:t>
            </w:r>
          </w:p>
        </w:tc>
        <w:tc>
          <w:tcPr>
            <w:tcW w:w="803" w:type="pct"/>
            <w:tcBorders>
              <w:top w:val="single" w:color="000000" w:sz="8" w:space="0"/>
              <w:left w:val="nil"/>
              <w:bottom w:val="single" w:color="000000" w:sz="8" w:space="0"/>
              <w:right w:val="single" w:color="000000" w:sz="8" w:space="0"/>
            </w:tcBorders>
            <w:noWrap w:val="0"/>
            <w:vAlign w:val="center"/>
          </w:tcPr>
          <w:p w14:paraId="76F0142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13.09</w:t>
            </w:r>
          </w:p>
        </w:tc>
        <w:tc>
          <w:tcPr>
            <w:tcW w:w="803" w:type="pct"/>
            <w:tcBorders>
              <w:top w:val="single" w:color="000000" w:sz="8" w:space="0"/>
              <w:left w:val="nil"/>
              <w:bottom w:val="single" w:color="000000" w:sz="8" w:space="0"/>
              <w:right w:val="single" w:color="000000" w:sz="8" w:space="0"/>
            </w:tcBorders>
            <w:noWrap w:val="0"/>
            <w:vAlign w:val="center"/>
          </w:tcPr>
          <w:p w14:paraId="67334AA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13.39</w:t>
            </w:r>
          </w:p>
        </w:tc>
        <w:tc>
          <w:tcPr>
            <w:tcW w:w="803" w:type="pct"/>
            <w:tcBorders>
              <w:top w:val="single" w:color="000000" w:sz="8" w:space="0"/>
              <w:left w:val="nil"/>
              <w:bottom w:val="single" w:color="000000" w:sz="8" w:space="0"/>
              <w:right w:val="single" w:color="000000" w:sz="8" w:space="0"/>
            </w:tcBorders>
            <w:noWrap w:val="0"/>
            <w:vAlign w:val="center"/>
          </w:tcPr>
          <w:p w14:paraId="269E304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13.63</w:t>
            </w:r>
          </w:p>
        </w:tc>
        <w:tc>
          <w:tcPr>
            <w:tcW w:w="803" w:type="pct"/>
            <w:tcBorders>
              <w:top w:val="single" w:color="000000" w:sz="8" w:space="0"/>
              <w:left w:val="nil"/>
              <w:bottom w:val="single" w:color="000000" w:sz="8" w:space="0"/>
              <w:right w:val="single" w:color="000000" w:sz="8" w:space="0"/>
            </w:tcBorders>
            <w:noWrap w:val="0"/>
            <w:vAlign w:val="center"/>
          </w:tcPr>
          <w:p w14:paraId="2EB8F69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13.77</w:t>
            </w:r>
          </w:p>
        </w:tc>
        <w:tc>
          <w:tcPr>
            <w:tcW w:w="803" w:type="pct"/>
            <w:tcBorders>
              <w:top w:val="single" w:color="000000" w:sz="8" w:space="0"/>
              <w:left w:val="nil"/>
              <w:bottom w:val="single" w:color="000000" w:sz="8" w:space="0"/>
              <w:right w:val="single" w:color="000000" w:sz="8" w:space="0"/>
            </w:tcBorders>
            <w:noWrap w:val="0"/>
            <w:vAlign w:val="center"/>
          </w:tcPr>
          <w:p w14:paraId="594DCFF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13.74</w:t>
            </w:r>
          </w:p>
        </w:tc>
      </w:tr>
      <w:tr w14:paraId="03D8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54F80E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6</w:t>
            </w:r>
          </w:p>
        </w:tc>
        <w:tc>
          <w:tcPr>
            <w:tcW w:w="714" w:type="pct"/>
            <w:tcBorders>
              <w:top w:val="nil"/>
              <w:left w:val="nil"/>
              <w:bottom w:val="single" w:color="000000" w:sz="8" w:space="0"/>
              <w:right w:val="single" w:color="000000" w:sz="8" w:space="0"/>
            </w:tcBorders>
            <w:noWrap w:val="0"/>
            <w:vAlign w:val="center"/>
          </w:tcPr>
          <w:p w14:paraId="7A61C6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一级资本充足率（%）</w:t>
            </w:r>
          </w:p>
        </w:tc>
        <w:tc>
          <w:tcPr>
            <w:tcW w:w="803" w:type="pct"/>
            <w:tcBorders>
              <w:top w:val="nil"/>
              <w:left w:val="nil"/>
              <w:bottom w:val="single" w:color="000000" w:sz="8" w:space="0"/>
              <w:right w:val="single" w:color="000000" w:sz="8" w:space="0"/>
            </w:tcBorders>
            <w:noWrap w:val="0"/>
            <w:vAlign w:val="center"/>
          </w:tcPr>
          <w:p w14:paraId="0FFF928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13.09</w:t>
            </w:r>
          </w:p>
        </w:tc>
        <w:tc>
          <w:tcPr>
            <w:tcW w:w="803" w:type="pct"/>
            <w:tcBorders>
              <w:top w:val="nil"/>
              <w:left w:val="nil"/>
              <w:bottom w:val="single" w:color="000000" w:sz="8" w:space="0"/>
              <w:right w:val="single" w:color="000000" w:sz="8" w:space="0"/>
            </w:tcBorders>
            <w:noWrap w:val="0"/>
            <w:vAlign w:val="center"/>
          </w:tcPr>
          <w:p w14:paraId="4A76EF8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13.39</w:t>
            </w:r>
          </w:p>
        </w:tc>
        <w:tc>
          <w:tcPr>
            <w:tcW w:w="803" w:type="pct"/>
            <w:tcBorders>
              <w:top w:val="nil"/>
              <w:left w:val="nil"/>
              <w:bottom w:val="single" w:color="000000" w:sz="8" w:space="0"/>
              <w:right w:val="single" w:color="000000" w:sz="8" w:space="0"/>
            </w:tcBorders>
            <w:noWrap w:val="0"/>
            <w:vAlign w:val="center"/>
          </w:tcPr>
          <w:p w14:paraId="6C72321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13.64</w:t>
            </w:r>
          </w:p>
        </w:tc>
        <w:tc>
          <w:tcPr>
            <w:tcW w:w="803" w:type="pct"/>
            <w:tcBorders>
              <w:top w:val="nil"/>
              <w:left w:val="nil"/>
              <w:bottom w:val="single" w:color="000000" w:sz="8" w:space="0"/>
              <w:right w:val="single" w:color="000000" w:sz="8" w:space="0"/>
            </w:tcBorders>
            <w:noWrap w:val="0"/>
            <w:vAlign w:val="center"/>
          </w:tcPr>
          <w:p w14:paraId="0CDB266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13.78</w:t>
            </w:r>
          </w:p>
        </w:tc>
        <w:tc>
          <w:tcPr>
            <w:tcW w:w="803" w:type="pct"/>
            <w:tcBorders>
              <w:top w:val="nil"/>
              <w:left w:val="nil"/>
              <w:bottom w:val="single" w:color="000000" w:sz="8" w:space="0"/>
              <w:right w:val="single" w:color="000000" w:sz="8" w:space="0"/>
            </w:tcBorders>
            <w:noWrap w:val="0"/>
            <w:vAlign w:val="center"/>
          </w:tcPr>
          <w:p w14:paraId="7645D19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13.75</w:t>
            </w:r>
          </w:p>
        </w:tc>
      </w:tr>
      <w:tr w14:paraId="5D74D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0137FB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7</w:t>
            </w:r>
          </w:p>
        </w:tc>
        <w:tc>
          <w:tcPr>
            <w:tcW w:w="714" w:type="pct"/>
            <w:tcBorders>
              <w:top w:val="nil"/>
              <w:left w:val="nil"/>
              <w:bottom w:val="single" w:color="000000" w:sz="8" w:space="0"/>
              <w:right w:val="single" w:color="000000" w:sz="8" w:space="0"/>
            </w:tcBorders>
            <w:noWrap w:val="0"/>
            <w:vAlign w:val="center"/>
          </w:tcPr>
          <w:p w14:paraId="3AA4BB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资本充足率（%）</w:t>
            </w:r>
          </w:p>
        </w:tc>
        <w:tc>
          <w:tcPr>
            <w:tcW w:w="803" w:type="pct"/>
            <w:tcBorders>
              <w:top w:val="nil"/>
              <w:left w:val="nil"/>
              <w:bottom w:val="single" w:color="000000" w:sz="8" w:space="0"/>
              <w:right w:val="single" w:color="000000" w:sz="8" w:space="0"/>
            </w:tcBorders>
            <w:noWrap w:val="0"/>
            <w:vAlign w:val="center"/>
          </w:tcPr>
          <w:p w14:paraId="68C289F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14.22</w:t>
            </w:r>
          </w:p>
        </w:tc>
        <w:tc>
          <w:tcPr>
            <w:tcW w:w="803" w:type="pct"/>
            <w:tcBorders>
              <w:top w:val="nil"/>
              <w:left w:val="nil"/>
              <w:bottom w:val="single" w:color="000000" w:sz="8" w:space="0"/>
              <w:right w:val="single" w:color="000000" w:sz="8" w:space="0"/>
            </w:tcBorders>
            <w:noWrap w:val="0"/>
            <w:vAlign w:val="center"/>
          </w:tcPr>
          <w:p w14:paraId="2BCE7FB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14.54</w:t>
            </w:r>
          </w:p>
        </w:tc>
        <w:tc>
          <w:tcPr>
            <w:tcW w:w="803" w:type="pct"/>
            <w:tcBorders>
              <w:top w:val="nil"/>
              <w:left w:val="nil"/>
              <w:bottom w:val="single" w:color="000000" w:sz="8" w:space="0"/>
              <w:right w:val="single" w:color="000000" w:sz="8" w:space="0"/>
            </w:tcBorders>
            <w:noWrap w:val="0"/>
            <w:vAlign w:val="center"/>
          </w:tcPr>
          <w:p w14:paraId="49D2BCB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14.77</w:t>
            </w:r>
          </w:p>
        </w:tc>
        <w:tc>
          <w:tcPr>
            <w:tcW w:w="803" w:type="pct"/>
            <w:tcBorders>
              <w:top w:val="nil"/>
              <w:left w:val="nil"/>
              <w:bottom w:val="single" w:color="000000" w:sz="8" w:space="0"/>
              <w:right w:val="single" w:color="000000" w:sz="8" w:space="0"/>
            </w:tcBorders>
            <w:noWrap w:val="0"/>
            <w:vAlign w:val="center"/>
          </w:tcPr>
          <w:p w14:paraId="749E25D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14.92</w:t>
            </w:r>
          </w:p>
        </w:tc>
        <w:tc>
          <w:tcPr>
            <w:tcW w:w="803" w:type="pct"/>
            <w:tcBorders>
              <w:top w:val="nil"/>
              <w:left w:val="nil"/>
              <w:bottom w:val="single" w:color="000000" w:sz="8" w:space="0"/>
              <w:right w:val="single" w:color="000000" w:sz="8" w:space="0"/>
            </w:tcBorders>
            <w:noWrap w:val="0"/>
            <w:vAlign w:val="center"/>
          </w:tcPr>
          <w:p w14:paraId="06634CD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14.89</w:t>
            </w:r>
          </w:p>
        </w:tc>
      </w:tr>
      <w:tr w14:paraId="733D7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445CAE46">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35FEA63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其他各级资本要求</w:t>
            </w:r>
          </w:p>
        </w:tc>
      </w:tr>
      <w:tr w14:paraId="108E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39833F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8</w:t>
            </w:r>
          </w:p>
        </w:tc>
        <w:tc>
          <w:tcPr>
            <w:tcW w:w="714" w:type="pct"/>
            <w:tcBorders>
              <w:top w:val="nil"/>
              <w:left w:val="nil"/>
              <w:bottom w:val="single" w:color="000000" w:sz="8" w:space="0"/>
              <w:right w:val="single" w:color="000000" w:sz="8" w:space="0"/>
            </w:tcBorders>
            <w:noWrap w:val="0"/>
            <w:vAlign w:val="center"/>
          </w:tcPr>
          <w:p w14:paraId="0AC3F4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储备资本要求（%）</w:t>
            </w:r>
          </w:p>
        </w:tc>
        <w:tc>
          <w:tcPr>
            <w:tcW w:w="803" w:type="pct"/>
            <w:tcBorders>
              <w:top w:val="single" w:color="000000" w:sz="8" w:space="0"/>
              <w:left w:val="nil"/>
              <w:bottom w:val="single" w:color="000000" w:sz="8" w:space="0"/>
              <w:right w:val="single" w:color="000000" w:sz="8" w:space="0"/>
            </w:tcBorders>
            <w:noWrap w:val="0"/>
            <w:vAlign w:val="center"/>
          </w:tcPr>
          <w:p w14:paraId="39C1CDA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single" w:color="000000" w:sz="8" w:space="0"/>
              <w:left w:val="nil"/>
              <w:bottom w:val="single" w:color="000000" w:sz="8" w:space="0"/>
              <w:right w:val="single" w:color="000000" w:sz="8" w:space="0"/>
            </w:tcBorders>
            <w:noWrap w:val="0"/>
            <w:vAlign w:val="center"/>
          </w:tcPr>
          <w:p w14:paraId="3D4501F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single" w:color="000000" w:sz="8" w:space="0"/>
              <w:left w:val="nil"/>
              <w:bottom w:val="single" w:color="000000" w:sz="8" w:space="0"/>
              <w:right w:val="single" w:color="000000" w:sz="8" w:space="0"/>
            </w:tcBorders>
            <w:noWrap w:val="0"/>
            <w:vAlign w:val="center"/>
          </w:tcPr>
          <w:p w14:paraId="545C3E0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single" w:color="000000" w:sz="8" w:space="0"/>
              <w:left w:val="nil"/>
              <w:bottom w:val="single" w:color="000000" w:sz="8" w:space="0"/>
              <w:right w:val="single" w:color="000000" w:sz="8" w:space="0"/>
            </w:tcBorders>
            <w:noWrap w:val="0"/>
            <w:vAlign w:val="center"/>
          </w:tcPr>
          <w:p w14:paraId="2452A64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single" w:color="000000" w:sz="8" w:space="0"/>
              <w:left w:val="nil"/>
              <w:bottom w:val="single" w:color="000000" w:sz="8" w:space="0"/>
              <w:right w:val="single" w:color="000000" w:sz="8" w:space="0"/>
            </w:tcBorders>
            <w:noWrap w:val="0"/>
            <w:vAlign w:val="center"/>
          </w:tcPr>
          <w:p w14:paraId="721E19F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r>
      <w:tr w14:paraId="40AA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704590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9</w:t>
            </w:r>
          </w:p>
        </w:tc>
        <w:tc>
          <w:tcPr>
            <w:tcW w:w="714" w:type="pct"/>
            <w:tcBorders>
              <w:top w:val="nil"/>
              <w:left w:val="nil"/>
              <w:bottom w:val="single" w:color="000000" w:sz="8" w:space="0"/>
              <w:right w:val="single" w:color="000000" w:sz="8" w:space="0"/>
            </w:tcBorders>
            <w:noWrap w:val="0"/>
            <w:vAlign w:val="center"/>
          </w:tcPr>
          <w:p w14:paraId="227DDE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逆周期资本要求（%）</w:t>
            </w:r>
          </w:p>
        </w:tc>
        <w:tc>
          <w:tcPr>
            <w:tcW w:w="803" w:type="pct"/>
            <w:tcBorders>
              <w:top w:val="nil"/>
              <w:left w:val="nil"/>
              <w:bottom w:val="single" w:color="000000" w:sz="8" w:space="0"/>
              <w:right w:val="single" w:color="000000" w:sz="8" w:space="0"/>
            </w:tcBorders>
            <w:noWrap w:val="0"/>
            <w:vAlign w:val="center"/>
          </w:tcPr>
          <w:p w14:paraId="53A3A9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i w:val="0"/>
                <w:iCs w:val="0"/>
                <w:color w:val="000000"/>
                <w:sz w:val="21"/>
                <w:szCs w:val="15"/>
                <w:u w:val="none"/>
              </w:rPr>
            </w:pPr>
            <w:r>
              <w:rPr>
                <w:rFonts w:hint="default" w:ascii="Arial Narrow" w:hAnsi="Arial Narrow" w:eastAsia="仿宋_GB2312" w:cs="Times New Roman"/>
                <w:i w:val="0"/>
                <w:iCs w:val="0"/>
                <w:color w:val="000000"/>
                <w:kern w:val="0"/>
                <w:sz w:val="21"/>
                <w:szCs w:val="15"/>
                <w:u w:val="none"/>
                <w:lang w:val="en-US" w:eastAsia="zh-CN" w:bidi="ar"/>
              </w:rPr>
              <w:t>-</w:t>
            </w:r>
          </w:p>
        </w:tc>
        <w:tc>
          <w:tcPr>
            <w:tcW w:w="803" w:type="pct"/>
            <w:tcBorders>
              <w:top w:val="nil"/>
              <w:left w:val="nil"/>
              <w:bottom w:val="single" w:color="000000" w:sz="8" w:space="0"/>
              <w:right w:val="single" w:color="000000" w:sz="8" w:space="0"/>
            </w:tcBorders>
            <w:noWrap w:val="0"/>
            <w:vAlign w:val="center"/>
          </w:tcPr>
          <w:p w14:paraId="3A3A88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i w:val="0"/>
                <w:iCs w:val="0"/>
                <w:color w:val="000000"/>
                <w:sz w:val="21"/>
                <w:szCs w:val="15"/>
                <w:u w:val="none"/>
              </w:rPr>
            </w:pPr>
            <w:r>
              <w:rPr>
                <w:rFonts w:hint="default" w:ascii="Arial Narrow" w:hAnsi="Arial Narrow" w:eastAsia="仿宋_GB2312" w:cs="Times New Roman"/>
                <w:i w:val="0"/>
                <w:iCs w:val="0"/>
                <w:color w:val="000000"/>
                <w:kern w:val="0"/>
                <w:sz w:val="21"/>
                <w:szCs w:val="15"/>
                <w:u w:val="none"/>
                <w:lang w:val="en-US" w:eastAsia="zh-CN" w:bidi="ar"/>
              </w:rPr>
              <w:t>-</w:t>
            </w:r>
          </w:p>
        </w:tc>
        <w:tc>
          <w:tcPr>
            <w:tcW w:w="803" w:type="pct"/>
            <w:tcBorders>
              <w:top w:val="nil"/>
              <w:left w:val="nil"/>
              <w:bottom w:val="single" w:color="000000" w:sz="8" w:space="0"/>
              <w:right w:val="single" w:color="000000" w:sz="8" w:space="0"/>
            </w:tcBorders>
            <w:noWrap w:val="0"/>
            <w:vAlign w:val="center"/>
          </w:tcPr>
          <w:p w14:paraId="4E9504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i w:val="0"/>
                <w:iCs w:val="0"/>
                <w:color w:val="000000"/>
                <w:sz w:val="21"/>
                <w:szCs w:val="15"/>
                <w:u w:val="none"/>
              </w:rPr>
            </w:pPr>
            <w:r>
              <w:rPr>
                <w:rFonts w:hint="default" w:ascii="Arial Narrow" w:hAnsi="Arial Narrow" w:eastAsia="仿宋_GB2312" w:cs="Times New Roman"/>
                <w:i w:val="0"/>
                <w:iCs w:val="0"/>
                <w:color w:val="000000"/>
                <w:kern w:val="0"/>
                <w:sz w:val="21"/>
                <w:szCs w:val="15"/>
                <w:u w:val="none"/>
                <w:lang w:val="en-US" w:eastAsia="zh-CN" w:bidi="ar"/>
              </w:rPr>
              <w:t>-</w:t>
            </w:r>
          </w:p>
        </w:tc>
        <w:tc>
          <w:tcPr>
            <w:tcW w:w="803" w:type="pct"/>
            <w:tcBorders>
              <w:top w:val="nil"/>
              <w:left w:val="nil"/>
              <w:bottom w:val="single" w:color="000000" w:sz="8" w:space="0"/>
              <w:right w:val="single" w:color="000000" w:sz="8" w:space="0"/>
            </w:tcBorders>
            <w:noWrap w:val="0"/>
            <w:vAlign w:val="center"/>
          </w:tcPr>
          <w:p w14:paraId="12F284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i w:val="0"/>
                <w:iCs w:val="0"/>
                <w:color w:val="000000"/>
                <w:sz w:val="21"/>
                <w:szCs w:val="15"/>
                <w:u w:val="none"/>
              </w:rPr>
            </w:pPr>
            <w:r>
              <w:rPr>
                <w:rFonts w:hint="default" w:ascii="Arial Narrow" w:hAnsi="Arial Narrow" w:eastAsia="仿宋_GB2312" w:cs="Times New Roman"/>
                <w:i w:val="0"/>
                <w:iCs w:val="0"/>
                <w:color w:val="000000"/>
                <w:kern w:val="0"/>
                <w:sz w:val="21"/>
                <w:szCs w:val="15"/>
                <w:u w:val="none"/>
                <w:lang w:val="en-US" w:eastAsia="zh-CN" w:bidi="ar"/>
              </w:rPr>
              <w:t>-</w:t>
            </w:r>
          </w:p>
        </w:tc>
        <w:tc>
          <w:tcPr>
            <w:tcW w:w="803" w:type="pct"/>
            <w:tcBorders>
              <w:top w:val="nil"/>
              <w:left w:val="nil"/>
              <w:bottom w:val="single" w:color="000000" w:sz="8" w:space="0"/>
              <w:right w:val="single" w:color="000000" w:sz="8" w:space="0"/>
            </w:tcBorders>
            <w:noWrap w:val="0"/>
            <w:vAlign w:val="center"/>
          </w:tcPr>
          <w:p w14:paraId="01F41D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Arial Narrow" w:hAnsi="Arial Narrow" w:eastAsia="仿宋_GB2312" w:cs="Times New Roman"/>
                <w:i w:val="0"/>
                <w:iCs w:val="0"/>
                <w:color w:val="000000"/>
                <w:sz w:val="21"/>
                <w:szCs w:val="15"/>
                <w:u w:val="none"/>
              </w:rPr>
            </w:pPr>
            <w:r>
              <w:rPr>
                <w:rFonts w:hint="default" w:ascii="Arial Narrow" w:hAnsi="Arial Narrow" w:eastAsia="仿宋_GB2312" w:cs="Times New Roman"/>
                <w:i w:val="0"/>
                <w:iCs w:val="0"/>
                <w:color w:val="000000"/>
                <w:kern w:val="0"/>
                <w:sz w:val="21"/>
                <w:szCs w:val="15"/>
                <w:u w:val="none"/>
                <w:lang w:val="en-US" w:eastAsia="zh-CN" w:bidi="ar"/>
              </w:rPr>
              <w:t>-</w:t>
            </w:r>
          </w:p>
        </w:tc>
      </w:tr>
      <w:tr w14:paraId="13D8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auto"/>
            <w:noWrap w:val="0"/>
            <w:vAlign w:val="center"/>
          </w:tcPr>
          <w:p w14:paraId="3724D0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10</w:t>
            </w:r>
          </w:p>
        </w:tc>
        <w:tc>
          <w:tcPr>
            <w:tcW w:w="714" w:type="pct"/>
            <w:tcBorders>
              <w:top w:val="nil"/>
              <w:left w:val="nil"/>
              <w:bottom w:val="single" w:color="000000" w:sz="8" w:space="0"/>
              <w:right w:val="single" w:color="000000" w:sz="8" w:space="0"/>
            </w:tcBorders>
            <w:shd w:val="clear" w:color="auto" w:fill="auto"/>
            <w:noWrap w:val="0"/>
            <w:vAlign w:val="center"/>
          </w:tcPr>
          <w:p w14:paraId="355A41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全球系统重要性银行或国内系统重要性银行附加资本要求（%）</w:t>
            </w:r>
          </w:p>
        </w:tc>
        <w:tc>
          <w:tcPr>
            <w:tcW w:w="803" w:type="pct"/>
            <w:tcBorders>
              <w:top w:val="nil"/>
              <w:left w:val="nil"/>
              <w:bottom w:val="single" w:color="000000" w:sz="8" w:space="0"/>
              <w:right w:val="single" w:color="000000" w:sz="8" w:space="0"/>
            </w:tcBorders>
            <w:shd w:val="clear" w:color="auto" w:fill="BFBFBF"/>
            <w:noWrap w:val="0"/>
            <w:vAlign w:val="bottom"/>
          </w:tcPr>
          <w:p w14:paraId="2609C1D4">
            <w:pPr>
              <w:keepNext w:val="0"/>
              <w:keepLines w:val="0"/>
              <w:pageBreakBefore w:val="0"/>
              <w:kinsoku/>
              <w:wordWrap/>
              <w:overflowPunct/>
              <w:topLinePunct w:val="0"/>
              <w:autoSpaceDE/>
              <w:autoSpaceDN/>
              <w:bidi w:val="0"/>
              <w:adjustRightInd/>
              <w:snapToGrid/>
              <w:jc w:val="center"/>
              <w:rPr>
                <w:rFonts w:hint="default" w:ascii="Arial Narrow" w:hAnsi="Arial Narrow" w:eastAsia="仿宋_GB2312" w:cs="Times New Roman"/>
                <w:i w:val="0"/>
                <w:iCs w:val="0"/>
                <w:color w:val="000000"/>
                <w:sz w:val="21"/>
                <w:szCs w:val="15"/>
                <w:u w:val="none"/>
              </w:rPr>
            </w:pPr>
          </w:p>
        </w:tc>
        <w:tc>
          <w:tcPr>
            <w:tcW w:w="803" w:type="pct"/>
            <w:tcBorders>
              <w:top w:val="nil"/>
              <w:left w:val="nil"/>
              <w:bottom w:val="single" w:color="000000" w:sz="8" w:space="0"/>
              <w:right w:val="single" w:color="000000" w:sz="8" w:space="0"/>
            </w:tcBorders>
            <w:shd w:val="clear" w:color="auto" w:fill="BFBFBF"/>
            <w:noWrap w:val="0"/>
            <w:vAlign w:val="bottom"/>
          </w:tcPr>
          <w:p w14:paraId="734911B6">
            <w:pPr>
              <w:keepNext w:val="0"/>
              <w:keepLines w:val="0"/>
              <w:pageBreakBefore w:val="0"/>
              <w:kinsoku/>
              <w:wordWrap/>
              <w:overflowPunct/>
              <w:topLinePunct w:val="0"/>
              <w:autoSpaceDE/>
              <w:autoSpaceDN/>
              <w:bidi w:val="0"/>
              <w:adjustRightInd/>
              <w:snapToGrid/>
              <w:jc w:val="center"/>
              <w:rPr>
                <w:rFonts w:hint="default" w:ascii="Arial Narrow" w:hAnsi="Arial Narrow" w:eastAsia="仿宋_GB2312" w:cs="Times New Roman"/>
                <w:i w:val="0"/>
                <w:iCs w:val="0"/>
                <w:color w:val="000000"/>
                <w:sz w:val="21"/>
                <w:szCs w:val="15"/>
                <w:u w:val="none"/>
              </w:rPr>
            </w:pPr>
          </w:p>
        </w:tc>
        <w:tc>
          <w:tcPr>
            <w:tcW w:w="803" w:type="pct"/>
            <w:tcBorders>
              <w:top w:val="nil"/>
              <w:left w:val="nil"/>
              <w:bottom w:val="single" w:color="000000" w:sz="8" w:space="0"/>
              <w:right w:val="single" w:color="000000" w:sz="8" w:space="0"/>
            </w:tcBorders>
            <w:shd w:val="clear" w:color="auto" w:fill="BFBFBF"/>
            <w:noWrap w:val="0"/>
            <w:vAlign w:val="bottom"/>
          </w:tcPr>
          <w:p w14:paraId="1C8C151F">
            <w:pPr>
              <w:keepNext w:val="0"/>
              <w:keepLines w:val="0"/>
              <w:pageBreakBefore w:val="0"/>
              <w:kinsoku/>
              <w:wordWrap/>
              <w:overflowPunct/>
              <w:topLinePunct w:val="0"/>
              <w:autoSpaceDE/>
              <w:autoSpaceDN/>
              <w:bidi w:val="0"/>
              <w:adjustRightInd/>
              <w:snapToGrid/>
              <w:jc w:val="center"/>
              <w:rPr>
                <w:rFonts w:hint="default" w:ascii="Arial Narrow" w:hAnsi="Arial Narrow" w:eastAsia="仿宋_GB2312" w:cs="Times New Roman"/>
                <w:i w:val="0"/>
                <w:iCs w:val="0"/>
                <w:color w:val="000000"/>
                <w:sz w:val="21"/>
                <w:szCs w:val="15"/>
                <w:u w:val="none"/>
              </w:rPr>
            </w:pPr>
          </w:p>
        </w:tc>
        <w:tc>
          <w:tcPr>
            <w:tcW w:w="803" w:type="pct"/>
            <w:tcBorders>
              <w:top w:val="nil"/>
              <w:left w:val="nil"/>
              <w:bottom w:val="single" w:color="000000" w:sz="8" w:space="0"/>
              <w:right w:val="single" w:color="000000" w:sz="8" w:space="0"/>
            </w:tcBorders>
            <w:shd w:val="clear" w:color="auto" w:fill="BFBFBF"/>
            <w:noWrap w:val="0"/>
            <w:vAlign w:val="bottom"/>
          </w:tcPr>
          <w:p w14:paraId="51E35543">
            <w:pPr>
              <w:keepNext w:val="0"/>
              <w:keepLines w:val="0"/>
              <w:pageBreakBefore w:val="0"/>
              <w:kinsoku/>
              <w:wordWrap/>
              <w:overflowPunct/>
              <w:topLinePunct w:val="0"/>
              <w:autoSpaceDE/>
              <w:autoSpaceDN/>
              <w:bidi w:val="0"/>
              <w:adjustRightInd/>
              <w:snapToGrid/>
              <w:jc w:val="center"/>
              <w:rPr>
                <w:rFonts w:hint="default" w:ascii="Arial Narrow" w:hAnsi="Arial Narrow" w:eastAsia="仿宋_GB2312" w:cs="Times New Roman"/>
                <w:i w:val="0"/>
                <w:iCs w:val="0"/>
                <w:color w:val="000000"/>
                <w:sz w:val="21"/>
                <w:szCs w:val="15"/>
                <w:u w:val="none"/>
              </w:rPr>
            </w:pPr>
          </w:p>
        </w:tc>
        <w:tc>
          <w:tcPr>
            <w:tcW w:w="803" w:type="pct"/>
            <w:tcBorders>
              <w:top w:val="nil"/>
              <w:left w:val="nil"/>
              <w:bottom w:val="single" w:color="000000" w:sz="8" w:space="0"/>
              <w:right w:val="single" w:color="000000" w:sz="8" w:space="0"/>
            </w:tcBorders>
            <w:shd w:val="clear" w:color="auto" w:fill="BFBFBF"/>
            <w:noWrap w:val="0"/>
            <w:vAlign w:val="bottom"/>
          </w:tcPr>
          <w:p w14:paraId="063720DE">
            <w:pPr>
              <w:keepNext w:val="0"/>
              <w:keepLines w:val="0"/>
              <w:pageBreakBefore w:val="0"/>
              <w:kinsoku/>
              <w:wordWrap/>
              <w:overflowPunct/>
              <w:topLinePunct w:val="0"/>
              <w:autoSpaceDE/>
              <w:autoSpaceDN/>
              <w:bidi w:val="0"/>
              <w:adjustRightInd/>
              <w:snapToGrid/>
              <w:jc w:val="center"/>
              <w:rPr>
                <w:rFonts w:hint="default" w:ascii="Arial Narrow" w:hAnsi="Arial Narrow" w:eastAsia="仿宋_GB2312" w:cs="Times New Roman"/>
                <w:i w:val="0"/>
                <w:iCs w:val="0"/>
                <w:color w:val="000000"/>
                <w:sz w:val="21"/>
                <w:szCs w:val="15"/>
                <w:u w:val="none"/>
              </w:rPr>
            </w:pPr>
          </w:p>
        </w:tc>
      </w:tr>
      <w:tr w14:paraId="278A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79BF3B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11</w:t>
            </w:r>
          </w:p>
        </w:tc>
        <w:tc>
          <w:tcPr>
            <w:tcW w:w="714" w:type="pct"/>
            <w:tcBorders>
              <w:top w:val="nil"/>
              <w:left w:val="nil"/>
              <w:bottom w:val="single" w:color="000000" w:sz="8" w:space="0"/>
              <w:right w:val="single" w:color="000000" w:sz="8" w:space="0"/>
            </w:tcBorders>
            <w:noWrap w:val="0"/>
            <w:vAlign w:val="center"/>
          </w:tcPr>
          <w:p w14:paraId="51A152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其他各级资本要求（%）（8+9+10）</w:t>
            </w:r>
          </w:p>
        </w:tc>
        <w:tc>
          <w:tcPr>
            <w:tcW w:w="803" w:type="pct"/>
            <w:tcBorders>
              <w:top w:val="nil"/>
              <w:left w:val="nil"/>
              <w:bottom w:val="single" w:color="000000" w:sz="8" w:space="0"/>
              <w:right w:val="single" w:color="000000" w:sz="8" w:space="0"/>
            </w:tcBorders>
            <w:noWrap w:val="0"/>
            <w:vAlign w:val="center"/>
          </w:tcPr>
          <w:p w14:paraId="1B6AC5D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nil"/>
              <w:left w:val="nil"/>
              <w:bottom w:val="single" w:color="000000" w:sz="8" w:space="0"/>
              <w:right w:val="single" w:color="000000" w:sz="8" w:space="0"/>
            </w:tcBorders>
            <w:noWrap w:val="0"/>
            <w:vAlign w:val="center"/>
          </w:tcPr>
          <w:p w14:paraId="4FA147A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nil"/>
              <w:left w:val="nil"/>
              <w:bottom w:val="single" w:color="000000" w:sz="8" w:space="0"/>
              <w:right w:val="single" w:color="000000" w:sz="8" w:space="0"/>
            </w:tcBorders>
            <w:noWrap w:val="0"/>
            <w:vAlign w:val="center"/>
          </w:tcPr>
          <w:p w14:paraId="21D8330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nil"/>
              <w:left w:val="nil"/>
              <w:bottom w:val="single" w:color="000000" w:sz="8" w:space="0"/>
              <w:right w:val="single" w:color="000000" w:sz="8" w:space="0"/>
            </w:tcBorders>
            <w:noWrap w:val="0"/>
            <w:vAlign w:val="center"/>
          </w:tcPr>
          <w:p w14:paraId="541A899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c>
          <w:tcPr>
            <w:tcW w:w="803" w:type="pct"/>
            <w:tcBorders>
              <w:top w:val="nil"/>
              <w:left w:val="nil"/>
              <w:bottom w:val="single" w:color="000000" w:sz="8" w:space="0"/>
              <w:right w:val="single" w:color="000000" w:sz="8" w:space="0"/>
            </w:tcBorders>
            <w:noWrap w:val="0"/>
            <w:vAlign w:val="center"/>
          </w:tcPr>
          <w:p w14:paraId="0434940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w:t>
            </w:r>
          </w:p>
        </w:tc>
      </w:tr>
      <w:tr w14:paraId="6451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0F6B1F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12</w:t>
            </w:r>
          </w:p>
        </w:tc>
        <w:tc>
          <w:tcPr>
            <w:tcW w:w="714" w:type="pct"/>
            <w:tcBorders>
              <w:top w:val="nil"/>
              <w:left w:val="nil"/>
              <w:bottom w:val="single" w:color="000000" w:sz="8" w:space="0"/>
              <w:right w:val="single" w:color="000000" w:sz="8" w:space="0"/>
            </w:tcBorders>
            <w:noWrap w:val="0"/>
            <w:vAlign w:val="center"/>
          </w:tcPr>
          <w:p w14:paraId="646AC3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满足最低资本要求后的可用核心一级资本净额占风险加权资产的比例（%）</w:t>
            </w:r>
          </w:p>
        </w:tc>
        <w:tc>
          <w:tcPr>
            <w:tcW w:w="803" w:type="pct"/>
            <w:tcBorders>
              <w:top w:val="nil"/>
              <w:left w:val="nil"/>
              <w:bottom w:val="single" w:color="000000" w:sz="8" w:space="0"/>
              <w:right w:val="single" w:color="000000" w:sz="8" w:space="0"/>
            </w:tcBorders>
            <w:noWrap w:val="0"/>
            <w:vAlign w:val="center"/>
          </w:tcPr>
          <w:p w14:paraId="03C5328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6.22</w:t>
            </w:r>
          </w:p>
        </w:tc>
        <w:tc>
          <w:tcPr>
            <w:tcW w:w="803" w:type="pct"/>
            <w:tcBorders>
              <w:top w:val="nil"/>
              <w:left w:val="nil"/>
              <w:bottom w:val="single" w:color="000000" w:sz="8" w:space="0"/>
              <w:right w:val="single" w:color="000000" w:sz="8" w:space="0"/>
            </w:tcBorders>
            <w:noWrap w:val="0"/>
            <w:vAlign w:val="center"/>
          </w:tcPr>
          <w:p w14:paraId="525E829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6.54</w:t>
            </w:r>
          </w:p>
        </w:tc>
        <w:tc>
          <w:tcPr>
            <w:tcW w:w="803" w:type="pct"/>
            <w:tcBorders>
              <w:top w:val="nil"/>
              <w:left w:val="nil"/>
              <w:bottom w:val="single" w:color="000000" w:sz="8" w:space="0"/>
              <w:right w:val="single" w:color="000000" w:sz="8" w:space="0"/>
            </w:tcBorders>
            <w:noWrap w:val="0"/>
            <w:vAlign w:val="center"/>
          </w:tcPr>
          <w:p w14:paraId="66BCB64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6.77</w:t>
            </w:r>
          </w:p>
        </w:tc>
        <w:tc>
          <w:tcPr>
            <w:tcW w:w="803" w:type="pct"/>
            <w:tcBorders>
              <w:top w:val="nil"/>
              <w:left w:val="nil"/>
              <w:bottom w:val="single" w:color="000000" w:sz="8" w:space="0"/>
              <w:right w:val="single" w:color="000000" w:sz="8" w:space="0"/>
            </w:tcBorders>
            <w:noWrap w:val="0"/>
            <w:vAlign w:val="center"/>
          </w:tcPr>
          <w:p w14:paraId="5228ABC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6.92</w:t>
            </w:r>
          </w:p>
        </w:tc>
        <w:tc>
          <w:tcPr>
            <w:tcW w:w="803" w:type="pct"/>
            <w:tcBorders>
              <w:top w:val="nil"/>
              <w:left w:val="nil"/>
              <w:bottom w:val="single" w:color="000000" w:sz="8" w:space="0"/>
              <w:right w:val="single" w:color="000000" w:sz="8" w:space="0"/>
            </w:tcBorders>
            <w:noWrap w:val="0"/>
            <w:vAlign w:val="center"/>
          </w:tcPr>
          <w:p w14:paraId="4CE5B16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6.89</w:t>
            </w:r>
          </w:p>
        </w:tc>
      </w:tr>
      <w:tr w14:paraId="4A0CB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18776414">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57E56CC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杠杆率</w:t>
            </w:r>
          </w:p>
        </w:tc>
      </w:tr>
      <w:tr w14:paraId="79C4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645237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13</w:t>
            </w:r>
          </w:p>
        </w:tc>
        <w:tc>
          <w:tcPr>
            <w:tcW w:w="714" w:type="pct"/>
            <w:tcBorders>
              <w:top w:val="nil"/>
              <w:left w:val="nil"/>
              <w:bottom w:val="single" w:color="000000" w:sz="8" w:space="0"/>
              <w:right w:val="single" w:color="000000" w:sz="8" w:space="0"/>
            </w:tcBorders>
            <w:noWrap w:val="0"/>
            <w:vAlign w:val="center"/>
          </w:tcPr>
          <w:p w14:paraId="3D45CE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调整后表内外资产余额</w:t>
            </w:r>
          </w:p>
        </w:tc>
        <w:tc>
          <w:tcPr>
            <w:tcW w:w="803" w:type="pct"/>
            <w:tcBorders>
              <w:top w:val="single" w:color="000000" w:sz="8" w:space="0"/>
              <w:left w:val="nil"/>
              <w:bottom w:val="single" w:color="000000" w:sz="8" w:space="0"/>
              <w:right w:val="single" w:color="000000" w:sz="8" w:space="0"/>
            </w:tcBorders>
            <w:noWrap w:val="0"/>
            <w:vAlign w:val="center"/>
          </w:tcPr>
          <w:p w14:paraId="3B51A16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26304104.55</w:t>
            </w:r>
          </w:p>
        </w:tc>
        <w:tc>
          <w:tcPr>
            <w:tcW w:w="803" w:type="pct"/>
            <w:tcBorders>
              <w:top w:val="single" w:color="000000" w:sz="8" w:space="0"/>
              <w:left w:val="nil"/>
              <w:bottom w:val="single" w:color="000000" w:sz="8" w:space="0"/>
              <w:right w:val="single" w:color="000000" w:sz="8" w:space="0"/>
            </w:tcBorders>
            <w:noWrap w:val="0"/>
            <w:vAlign w:val="center"/>
          </w:tcPr>
          <w:p w14:paraId="75F1084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25062669.25</w:t>
            </w:r>
          </w:p>
        </w:tc>
        <w:tc>
          <w:tcPr>
            <w:tcW w:w="803" w:type="pct"/>
            <w:tcBorders>
              <w:top w:val="single" w:color="000000" w:sz="8" w:space="0"/>
              <w:left w:val="nil"/>
              <w:bottom w:val="single" w:color="000000" w:sz="8" w:space="0"/>
              <w:right w:val="single" w:color="000000" w:sz="8" w:space="0"/>
            </w:tcBorders>
            <w:noWrap w:val="0"/>
            <w:vAlign w:val="center"/>
          </w:tcPr>
          <w:p w14:paraId="4CF5301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24709189.56</w:t>
            </w:r>
          </w:p>
        </w:tc>
        <w:tc>
          <w:tcPr>
            <w:tcW w:w="803" w:type="pct"/>
            <w:tcBorders>
              <w:top w:val="single" w:color="000000" w:sz="8" w:space="0"/>
              <w:left w:val="nil"/>
              <w:bottom w:val="single" w:color="000000" w:sz="8" w:space="0"/>
              <w:right w:val="single" w:color="000000" w:sz="8" w:space="0"/>
            </w:tcBorders>
            <w:noWrap w:val="0"/>
            <w:vAlign w:val="center"/>
          </w:tcPr>
          <w:p w14:paraId="113732C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23,258,338.71</w:t>
            </w:r>
          </w:p>
        </w:tc>
        <w:tc>
          <w:tcPr>
            <w:tcW w:w="803" w:type="pct"/>
            <w:tcBorders>
              <w:top w:val="single" w:color="000000" w:sz="8" w:space="0"/>
              <w:left w:val="nil"/>
              <w:bottom w:val="single" w:color="000000" w:sz="8" w:space="0"/>
              <w:right w:val="single" w:color="000000" w:sz="8" w:space="0"/>
            </w:tcBorders>
            <w:noWrap w:val="0"/>
            <w:vAlign w:val="center"/>
          </w:tcPr>
          <w:p w14:paraId="6DBF8A1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22,873,139.24</w:t>
            </w:r>
          </w:p>
        </w:tc>
      </w:tr>
      <w:tr w14:paraId="5213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3790BA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14</w:t>
            </w:r>
          </w:p>
        </w:tc>
        <w:tc>
          <w:tcPr>
            <w:tcW w:w="714" w:type="pct"/>
            <w:tcBorders>
              <w:top w:val="nil"/>
              <w:left w:val="nil"/>
              <w:bottom w:val="single" w:color="000000" w:sz="8" w:space="0"/>
              <w:right w:val="single" w:color="000000" w:sz="8" w:space="0"/>
            </w:tcBorders>
            <w:noWrap w:val="0"/>
            <w:vAlign w:val="center"/>
          </w:tcPr>
          <w:p w14:paraId="0A8DB5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杠杆率（%）</w:t>
            </w:r>
          </w:p>
        </w:tc>
        <w:tc>
          <w:tcPr>
            <w:tcW w:w="803" w:type="pct"/>
            <w:tcBorders>
              <w:top w:val="nil"/>
              <w:left w:val="nil"/>
              <w:bottom w:val="single" w:color="000000" w:sz="8" w:space="0"/>
              <w:right w:val="single" w:color="000000" w:sz="8" w:space="0"/>
            </w:tcBorders>
            <w:noWrap w:val="0"/>
            <w:vAlign w:val="center"/>
          </w:tcPr>
          <w:p w14:paraId="5ED8354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7.67</w:t>
            </w:r>
          </w:p>
        </w:tc>
        <w:tc>
          <w:tcPr>
            <w:tcW w:w="803" w:type="pct"/>
            <w:tcBorders>
              <w:top w:val="nil"/>
              <w:left w:val="nil"/>
              <w:bottom w:val="single" w:color="000000" w:sz="8" w:space="0"/>
              <w:right w:val="single" w:color="000000" w:sz="8" w:space="0"/>
            </w:tcBorders>
            <w:noWrap w:val="0"/>
            <w:vAlign w:val="center"/>
          </w:tcPr>
          <w:p w14:paraId="5610A88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7.91</w:t>
            </w:r>
          </w:p>
        </w:tc>
        <w:tc>
          <w:tcPr>
            <w:tcW w:w="803" w:type="pct"/>
            <w:tcBorders>
              <w:top w:val="nil"/>
              <w:left w:val="nil"/>
              <w:bottom w:val="single" w:color="000000" w:sz="8" w:space="0"/>
              <w:right w:val="single" w:color="000000" w:sz="8" w:space="0"/>
            </w:tcBorders>
            <w:noWrap w:val="0"/>
            <w:vAlign w:val="center"/>
          </w:tcPr>
          <w:p w14:paraId="0FC2009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7.9</w:t>
            </w:r>
          </w:p>
        </w:tc>
        <w:tc>
          <w:tcPr>
            <w:tcW w:w="803" w:type="pct"/>
            <w:tcBorders>
              <w:top w:val="nil"/>
              <w:left w:val="nil"/>
              <w:bottom w:val="single" w:color="000000" w:sz="8" w:space="0"/>
              <w:right w:val="single" w:color="000000" w:sz="8" w:space="0"/>
            </w:tcBorders>
            <w:noWrap w:val="0"/>
            <w:vAlign w:val="center"/>
          </w:tcPr>
          <w:p w14:paraId="1808955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8.23</w:t>
            </w:r>
          </w:p>
        </w:tc>
        <w:tc>
          <w:tcPr>
            <w:tcW w:w="803" w:type="pct"/>
            <w:tcBorders>
              <w:top w:val="nil"/>
              <w:left w:val="nil"/>
              <w:bottom w:val="single" w:color="000000" w:sz="8" w:space="0"/>
              <w:right w:val="single" w:color="000000" w:sz="8" w:space="0"/>
            </w:tcBorders>
            <w:noWrap w:val="0"/>
            <w:vAlign w:val="center"/>
          </w:tcPr>
          <w:p w14:paraId="7A921B78">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8.28</w:t>
            </w:r>
          </w:p>
        </w:tc>
      </w:tr>
      <w:tr w14:paraId="0E81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1E6B54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14a</w:t>
            </w:r>
          </w:p>
        </w:tc>
        <w:tc>
          <w:tcPr>
            <w:tcW w:w="714" w:type="pct"/>
            <w:tcBorders>
              <w:top w:val="nil"/>
              <w:left w:val="nil"/>
              <w:bottom w:val="single" w:color="000000" w:sz="8" w:space="0"/>
              <w:right w:val="single" w:color="000000" w:sz="8" w:space="0"/>
            </w:tcBorders>
            <w:noWrap w:val="0"/>
            <w:vAlign w:val="center"/>
          </w:tcPr>
          <w:p w14:paraId="35229A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杠杆率a（%）</w:t>
            </w:r>
          </w:p>
        </w:tc>
        <w:tc>
          <w:tcPr>
            <w:tcW w:w="803" w:type="pct"/>
            <w:tcBorders>
              <w:top w:val="nil"/>
              <w:left w:val="nil"/>
              <w:bottom w:val="single" w:color="000000" w:sz="8" w:space="0"/>
              <w:right w:val="single" w:color="000000" w:sz="8" w:space="0"/>
            </w:tcBorders>
            <w:noWrap w:val="0"/>
            <w:vAlign w:val="center"/>
          </w:tcPr>
          <w:p w14:paraId="7A0EB53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7.67</w:t>
            </w:r>
          </w:p>
        </w:tc>
        <w:tc>
          <w:tcPr>
            <w:tcW w:w="803" w:type="pct"/>
            <w:tcBorders>
              <w:top w:val="nil"/>
              <w:left w:val="nil"/>
              <w:bottom w:val="single" w:color="000000" w:sz="8" w:space="0"/>
              <w:right w:val="single" w:color="000000" w:sz="8" w:space="0"/>
            </w:tcBorders>
            <w:noWrap w:val="0"/>
            <w:vAlign w:val="center"/>
          </w:tcPr>
          <w:p w14:paraId="45EA8DD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7.91</w:t>
            </w:r>
          </w:p>
        </w:tc>
        <w:tc>
          <w:tcPr>
            <w:tcW w:w="803" w:type="pct"/>
            <w:tcBorders>
              <w:top w:val="nil"/>
              <w:left w:val="nil"/>
              <w:bottom w:val="single" w:color="000000" w:sz="8" w:space="0"/>
              <w:right w:val="single" w:color="000000" w:sz="8" w:space="0"/>
            </w:tcBorders>
            <w:noWrap w:val="0"/>
            <w:vAlign w:val="center"/>
          </w:tcPr>
          <w:p w14:paraId="63C0C70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7.9</w:t>
            </w:r>
          </w:p>
        </w:tc>
        <w:tc>
          <w:tcPr>
            <w:tcW w:w="803" w:type="pct"/>
            <w:tcBorders>
              <w:top w:val="nil"/>
              <w:left w:val="nil"/>
              <w:bottom w:val="single" w:color="000000" w:sz="8" w:space="0"/>
              <w:right w:val="single" w:color="000000" w:sz="8" w:space="0"/>
            </w:tcBorders>
            <w:noWrap w:val="0"/>
            <w:vAlign w:val="center"/>
          </w:tcPr>
          <w:p w14:paraId="4C89C29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8.23</w:t>
            </w:r>
          </w:p>
        </w:tc>
        <w:tc>
          <w:tcPr>
            <w:tcW w:w="803" w:type="pct"/>
            <w:tcBorders>
              <w:top w:val="nil"/>
              <w:left w:val="nil"/>
              <w:bottom w:val="single" w:color="000000" w:sz="8" w:space="0"/>
              <w:right w:val="single" w:color="000000" w:sz="8" w:space="0"/>
            </w:tcBorders>
            <w:noWrap w:val="0"/>
            <w:vAlign w:val="center"/>
          </w:tcPr>
          <w:p w14:paraId="2889345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8.28</w:t>
            </w:r>
          </w:p>
        </w:tc>
      </w:tr>
      <w:tr w14:paraId="12ECB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7E9272F4">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5829C4E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流动性覆盖率</w:t>
            </w:r>
          </w:p>
        </w:tc>
      </w:tr>
      <w:tr w14:paraId="1C0D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47EF3B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15</w:t>
            </w:r>
          </w:p>
        </w:tc>
        <w:tc>
          <w:tcPr>
            <w:tcW w:w="714" w:type="pct"/>
            <w:tcBorders>
              <w:top w:val="nil"/>
              <w:left w:val="nil"/>
              <w:bottom w:val="single" w:color="000000" w:sz="8" w:space="0"/>
              <w:right w:val="single" w:color="000000" w:sz="8" w:space="0"/>
            </w:tcBorders>
            <w:noWrap w:val="0"/>
            <w:vAlign w:val="center"/>
          </w:tcPr>
          <w:p w14:paraId="0CFFDB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合格优质流动性资产</w:t>
            </w:r>
          </w:p>
        </w:tc>
        <w:tc>
          <w:tcPr>
            <w:tcW w:w="803" w:type="pct"/>
            <w:tcBorders>
              <w:top w:val="single" w:color="000000" w:sz="8" w:space="0"/>
              <w:left w:val="nil"/>
              <w:bottom w:val="single" w:color="000000" w:sz="8" w:space="0"/>
              <w:right w:val="single" w:color="000000" w:sz="8" w:space="0"/>
            </w:tcBorders>
            <w:noWrap w:val="0"/>
            <w:vAlign w:val="center"/>
          </w:tcPr>
          <w:p w14:paraId="5418FEB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2,964,341.95</w:t>
            </w:r>
          </w:p>
        </w:tc>
        <w:tc>
          <w:tcPr>
            <w:tcW w:w="803" w:type="pct"/>
            <w:tcBorders>
              <w:top w:val="single" w:color="000000" w:sz="8" w:space="0"/>
              <w:left w:val="nil"/>
              <w:bottom w:val="single" w:color="000000" w:sz="8" w:space="0"/>
              <w:right w:val="single" w:color="000000" w:sz="8" w:space="0"/>
            </w:tcBorders>
            <w:noWrap w:val="0"/>
            <w:vAlign w:val="center"/>
          </w:tcPr>
          <w:p w14:paraId="1F59492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2,514,892.63</w:t>
            </w:r>
          </w:p>
        </w:tc>
        <w:tc>
          <w:tcPr>
            <w:tcW w:w="803" w:type="pct"/>
            <w:tcBorders>
              <w:top w:val="single" w:color="000000" w:sz="8" w:space="0"/>
              <w:left w:val="nil"/>
              <w:bottom w:val="single" w:color="000000" w:sz="8" w:space="0"/>
              <w:right w:val="single" w:color="000000" w:sz="8" w:space="0"/>
            </w:tcBorders>
            <w:noWrap w:val="0"/>
            <w:vAlign w:val="center"/>
          </w:tcPr>
          <w:p w14:paraId="6D917E7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3,193,597.00</w:t>
            </w:r>
          </w:p>
        </w:tc>
        <w:tc>
          <w:tcPr>
            <w:tcW w:w="803" w:type="pct"/>
            <w:tcBorders>
              <w:top w:val="single" w:color="000000" w:sz="8" w:space="0"/>
              <w:left w:val="nil"/>
              <w:bottom w:val="single" w:color="000000" w:sz="8" w:space="0"/>
              <w:right w:val="single" w:color="000000" w:sz="8" w:space="0"/>
            </w:tcBorders>
            <w:noWrap w:val="0"/>
            <w:vAlign w:val="center"/>
          </w:tcPr>
          <w:p w14:paraId="0BFE60D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2,313,251.19</w:t>
            </w:r>
          </w:p>
        </w:tc>
        <w:tc>
          <w:tcPr>
            <w:tcW w:w="803" w:type="pct"/>
            <w:tcBorders>
              <w:top w:val="single" w:color="000000" w:sz="8" w:space="0"/>
              <w:left w:val="nil"/>
              <w:bottom w:val="single" w:color="000000" w:sz="8" w:space="0"/>
              <w:right w:val="single" w:color="000000" w:sz="8" w:space="0"/>
            </w:tcBorders>
            <w:noWrap w:val="0"/>
            <w:vAlign w:val="center"/>
          </w:tcPr>
          <w:p w14:paraId="00C94E0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1,960,662.53</w:t>
            </w:r>
          </w:p>
        </w:tc>
      </w:tr>
      <w:tr w14:paraId="16A8B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2ABFA5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16</w:t>
            </w:r>
          </w:p>
        </w:tc>
        <w:tc>
          <w:tcPr>
            <w:tcW w:w="714" w:type="pct"/>
            <w:tcBorders>
              <w:top w:val="nil"/>
              <w:left w:val="nil"/>
              <w:bottom w:val="single" w:color="000000" w:sz="8" w:space="0"/>
              <w:right w:val="single" w:color="000000" w:sz="8" w:space="0"/>
            </w:tcBorders>
            <w:noWrap w:val="0"/>
            <w:vAlign w:val="center"/>
          </w:tcPr>
          <w:p w14:paraId="40060F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现金净流出量</w:t>
            </w:r>
          </w:p>
        </w:tc>
        <w:tc>
          <w:tcPr>
            <w:tcW w:w="803" w:type="pct"/>
            <w:tcBorders>
              <w:top w:val="nil"/>
              <w:left w:val="nil"/>
              <w:bottom w:val="single" w:color="000000" w:sz="8" w:space="0"/>
              <w:right w:val="single" w:color="000000" w:sz="8" w:space="0"/>
            </w:tcBorders>
            <w:noWrap w:val="0"/>
            <w:vAlign w:val="center"/>
          </w:tcPr>
          <w:p w14:paraId="71CDAB1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1,670,677.36</w:t>
            </w:r>
          </w:p>
        </w:tc>
        <w:tc>
          <w:tcPr>
            <w:tcW w:w="803" w:type="pct"/>
            <w:tcBorders>
              <w:top w:val="nil"/>
              <w:left w:val="nil"/>
              <w:bottom w:val="single" w:color="000000" w:sz="8" w:space="0"/>
              <w:right w:val="single" w:color="000000" w:sz="8" w:space="0"/>
            </w:tcBorders>
            <w:noWrap w:val="0"/>
            <w:vAlign w:val="center"/>
          </w:tcPr>
          <w:p w14:paraId="73487F4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1,507,258.79</w:t>
            </w:r>
          </w:p>
        </w:tc>
        <w:tc>
          <w:tcPr>
            <w:tcW w:w="803" w:type="pct"/>
            <w:tcBorders>
              <w:top w:val="nil"/>
              <w:left w:val="nil"/>
              <w:bottom w:val="single" w:color="000000" w:sz="8" w:space="0"/>
              <w:right w:val="single" w:color="000000" w:sz="8" w:space="0"/>
            </w:tcBorders>
            <w:noWrap w:val="0"/>
            <w:vAlign w:val="center"/>
          </w:tcPr>
          <w:p w14:paraId="21FDB77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1,997,596.78</w:t>
            </w:r>
          </w:p>
        </w:tc>
        <w:tc>
          <w:tcPr>
            <w:tcW w:w="803" w:type="pct"/>
            <w:tcBorders>
              <w:top w:val="nil"/>
              <w:left w:val="nil"/>
              <w:bottom w:val="single" w:color="000000" w:sz="8" w:space="0"/>
              <w:right w:val="single" w:color="000000" w:sz="8" w:space="0"/>
            </w:tcBorders>
            <w:noWrap w:val="0"/>
            <w:vAlign w:val="center"/>
          </w:tcPr>
          <w:p w14:paraId="723A658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1,733,251.08</w:t>
            </w:r>
          </w:p>
        </w:tc>
        <w:tc>
          <w:tcPr>
            <w:tcW w:w="803" w:type="pct"/>
            <w:tcBorders>
              <w:top w:val="nil"/>
              <w:left w:val="nil"/>
              <w:bottom w:val="single" w:color="000000" w:sz="8" w:space="0"/>
              <w:right w:val="single" w:color="000000" w:sz="8" w:space="0"/>
            </w:tcBorders>
            <w:noWrap w:val="0"/>
            <w:vAlign w:val="center"/>
          </w:tcPr>
          <w:p w14:paraId="4C02570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1,299,788.47</w:t>
            </w:r>
          </w:p>
        </w:tc>
      </w:tr>
      <w:tr w14:paraId="29096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5048CC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17</w:t>
            </w:r>
          </w:p>
        </w:tc>
        <w:tc>
          <w:tcPr>
            <w:tcW w:w="714" w:type="pct"/>
            <w:tcBorders>
              <w:top w:val="nil"/>
              <w:left w:val="nil"/>
              <w:bottom w:val="single" w:color="000000" w:sz="8" w:space="0"/>
              <w:right w:val="single" w:color="000000" w:sz="8" w:space="0"/>
            </w:tcBorders>
            <w:noWrap w:val="0"/>
            <w:vAlign w:val="center"/>
          </w:tcPr>
          <w:p w14:paraId="52541D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流动性覆盖率（%）</w:t>
            </w:r>
          </w:p>
        </w:tc>
        <w:tc>
          <w:tcPr>
            <w:tcW w:w="803" w:type="pct"/>
            <w:tcBorders>
              <w:top w:val="nil"/>
              <w:left w:val="nil"/>
              <w:bottom w:val="single" w:color="000000" w:sz="8" w:space="0"/>
              <w:right w:val="single" w:color="000000" w:sz="8" w:space="0"/>
            </w:tcBorders>
            <w:noWrap w:val="0"/>
            <w:vAlign w:val="center"/>
          </w:tcPr>
          <w:p w14:paraId="086A528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177.43</w:t>
            </w:r>
          </w:p>
        </w:tc>
        <w:tc>
          <w:tcPr>
            <w:tcW w:w="803" w:type="pct"/>
            <w:tcBorders>
              <w:top w:val="nil"/>
              <w:left w:val="nil"/>
              <w:bottom w:val="single" w:color="000000" w:sz="8" w:space="0"/>
              <w:right w:val="single" w:color="000000" w:sz="8" w:space="0"/>
            </w:tcBorders>
            <w:noWrap w:val="0"/>
            <w:vAlign w:val="center"/>
          </w:tcPr>
          <w:p w14:paraId="4C5A38E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166.85</w:t>
            </w:r>
          </w:p>
        </w:tc>
        <w:tc>
          <w:tcPr>
            <w:tcW w:w="803" w:type="pct"/>
            <w:tcBorders>
              <w:top w:val="nil"/>
              <w:left w:val="nil"/>
              <w:bottom w:val="single" w:color="000000" w:sz="8" w:space="0"/>
              <w:right w:val="single" w:color="000000" w:sz="8" w:space="0"/>
            </w:tcBorders>
            <w:noWrap w:val="0"/>
            <w:vAlign w:val="center"/>
          </w:tcPr>
          <w:p w14:paraId="15F63F1C">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159.87</w:t>
            </w:r>
          </w:p>
        </w:tc>
        <w:tc>
          <w:tcPr>
            <w:tcW w:w="803" w:type="pct"/>
            <w:tcBorders>
              <w:top w:val="nil"/>
              <w:left w:val="nil"/>
              <w:bottom w:val="single" w:color="000000" w:sz="8" w:space="0"/>
              <w:right w:val="single" w:color="000000" w:sz="8" w:space="0"/>
            </w:tcBorders>
            <w:noWrap w:val="0"/>
            <w:vAlign w:val="center"/>
          </w:tcPr>
          <w:p w14:paraId="77429F45">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133.46</w:t>
            </w:r>
          </w:p>
        </w:tc>
        <w:tc>
          <w:tcPr>
            <w:tcW w:w="803" w:type="pct"/>
            <w:tcBorders>
              <w:top w:val="nil"/>
              <w:left w:val="nil"/>
              <w:bottom w:val="single" w:color="000000" w:sz="8" w:space="0"/>
              <w:right w:val="single" w:color="000000" w:sz="8" w:space="0"/>
            </w:tcBorders>
            <w:noWrap w:val="0"/>
            <w:vAlign w:val="center"/>
          </w:tcPr>
          <w:p w14:paraId="6681DA6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150.84</w:t>
            </w:r>
          </w:p>
        </w:tc>
      </w:tr>
      <w:tr w14:paraId="08CB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448B771B">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7EC4BB4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净稳定资金比例</w:t>
            </w:r>
          </w:p>
        </w:tc>
      </w:tr>
      <w:tr w14:paraId="599C0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71008D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18</w:t>
            </w:r>
          </w:p>
        </w:tc>
        <w:tc>
          <w:tcPr>
            <w:tcW w:w="714" w:type="pct"/>
            <w:tcBorders>
              <w:top w:val="nil"/>
              <w:left w:val="nil"/>
              <w:bottom w:val="single" w:color="000000" w:sz="8" w:space="0"/>
              <w:right w:val="single" w:color="000000" w:sz="8" w:space="0"/>
            </w:tcBorders>
            <w:noWrap w:val="0"/>
            <w:vAlign w:val="center"/>
          </w:tcPr>
          <w:p w14:paraId="0BBA82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可用稳定资金合计</w:t>
            </w:r>
          </w:p>
        </w:tc>
        <w:tc>
          <w:tcPr>
            <w:tcW w:w="803" w:type="pct"/>
            <w:tcBorders>
              <w:top w:val="single" w:color="000000" w:sz="8" w:space="0"/>
              <w:left w:val="nil"/>
              <w:bottom w:val="single" w:color="000000" w:sz="8" w:space="0"/>
              <w:right w:val="single" w:color="000000" w:sz="8" w:space="0"/>
            </w:tcBorders>
            <w:noWrap w:val="0"/>
            <w:vAlign w:val="center"/>
          </w:tcPr>
          <w:p w14:paraId="2E35112D">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16,451,242.14</w:t>
            </w:r>
          </w:p>
        </w:tc>
        <w:tc>
          <w:tcPr>
            <w:tcW w:w="803" w:type="pct"/>
            <w:tcBorders>
              <w:top w:val="single" w:color="000000" w:sz="8" w:space="0"/>
              <w:left w:val="nil"/>
              <w:bottom w:val="single" w:color="000000" w:sz="8" w:space="0"/>
              <w:right w:val="single" w:color="000000" w:sz="8" w:space="0"/>
            </w:tcBorders>
            <w:noWrap w:val="0"/>
            <w:vAlign w:val="center"/>
          </w:tcPr>
          <w:p w14:paraId="634815E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16,106,414.54</w:t>
            </w:r>
          </w:p>
        </w:tc>
        <w:tc>
          <w:tcPr>
            <w:tcW w:w="803" w:type="pct"/>
            <w:tcBorders>
              <w:top w:val="single" w:color="000000" w:sz="8" w:space="0"/>
              <w:left w:val="nil"/>
              <w:bottom w:val="single" w:color="000000" w:sz="8" w:space="0"/>
              <w:right w:val="single" w:color="000000" w:sz="8" w:space="0"/>
            </w:tcBorders>
            <w:noWrap w:val="0"/>
            <w:vAlign w:val="center"/>
          </w:tcPr>
          <w:p w14:paraId="59D6D94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15,165,200.47</w:t>
            </w:r>
          </w:p>
        </w:tc>
        <w:tc>
          <w:tcPr>
            <w:tcW w:w="803" w:type="pct"/>
            <w:tcBorders>
              <w:top w:val="single" w:color="000000" w:sz="8" w:space="0"/>
              <w:left w:val="nil"/>
              <w:bottom w:val="single" w:color="000000" w:sz="8" w:space="0"/>
              <w:right w:val="single" w:color="000000" w:sz="8" w:space="0"/>
            </w:tcBorders>
            <w:noWrap w:val="0"/>
            <w:vAlign w:val="center"/>
          </w:tcPr>
          <w:p w14:paraId="7BEFD6E2">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15,019,612.72</w:t>
            </w:r>
          </w:p>
        </w:tc>
        <w:tc>
          <w:tcPr>
            <w:tcW w:w="803" w:type="pct"/>
            <w:tcBorders>
              <w:top w:val="single" w:color="000000" w:sz="8" w:space="0"/>
              <w:left w:val="nil"/>
              <w:bottom w:val="single" w:color="000000" w:sz="8" w:space="0"/>
              <w:right w:val="single" w:color="000000" w:sz="8" w:space="0"/>
            </w:tcBorders>
            <w:noWrap w:val="0"/>
            <w:vAlign w:val="center"/>
          </w:tcPr>
          <w:p w14:paraId="76728EA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15,082,257.74</w:t>
            </w:r>
          </w:p>
        </w:tc>
      </w:tr>
      <w:tr w14:paraId="29D2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2D48B5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19</w:t>
            </w:r>
          </w:p>
        </w:tc>
        <w:tc>
          <w:tcPr>
            <w:tcW w:w="714" w:type="pct"/>
            <w:tcBorders>
              <w:top w:val="nil"/>
              <w:left w:val="nil"/>
              <w:bottom w:val="single" w:color="000000" w:sz="8" w:space="0"/>
              <w:right w:val="single" w:color="000000" w:sz="8" w:space="0"/>
            </w:tcBorders>
            <w:noWrap w:val="0"/>
            <w:vAlign w:val="center"/>
          </w:tcPr>
          <w:p w14:paraId="57E6A6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所需稳定资金合计</w:t>
            </w:r>
          </w:p>
        </w:tc>
        <w:tc>
          <w:tcPr>
            <w:tcW w:w="803" w:type="pct"/>
            <w:tcBorders>
              <w:top w:val="nil"/>
              <w:left w:val="nil"/>
              <w:bottom w:val="single" w:color="000000" w:sz="8" w:space="0"/>
              <w:right w:val="single" w:color="000000" w:sz="8" w:space="0"/>
            </w:tcBorders>
            <w:noWrap w:val="0"/>
            <w:vAlign w:val="center"/>
          </w:tcPr>
          <w:p w14:paraId="28975DB0">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11,592,375.37</w:t>
            </w:r>
          </w:p>
        </w:tc>
        <w:tc>
          <w:tcPr>
            <w:tcW w:w="803" w:type="pct"/>
            <w:tcBorders>
              <w:top w:val="nil"/>
              <w:left w:val="nil"/>
              <w:bottom w:val="single" w:color="000000" w:sz="8" w:space="0"/>
              <w:right w:val="single" w:color="000000" w:sz="8" w:space="0"/>
            </w:tcBorders>
            <w:noWrap w:val="0"/>
            <w:vAlign w:val="center"/>
          </w:tcPr>
          <w:p w14:paraId="432F3D5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11,236,676.14</w:t>
            </w:r>
          </w:p>
        </w:tc>
        <w:tc>
          <w:tcPr>
            <w:tcW w:w="803" w:type="pct"/>
            <w:tcBorders>
              <w:top w:val="nil"/>
              <w:left w:val="nil"/>
              <w:bottom w:val="single" w:color="000000" w:sz="8" w:space="0"/>
              <w:right w:val="single" w:color="000000" w:sz="8" w:space="0"/>
            </w:tcBorders>
            <w:noWrap w:val="0"/>
            <w:vAlign w:val="center"/>
          </w:tcPr>
          <w:p w14:paraId="064F47D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10,538,497.88</w:t>
            </w:r>
          </w:p>
        </w:tc>
        <w:tc>
          <w:tcPr>
            <w:tcW w:w="803" w:type="pct"/>
            <w:tcBorders>
              <w:top w:val="nil"/>
              <w:left w:val="nil"/>
              <w:bottom w:val="single" w:color="000000" w:sz="8" w:space="0"/>
              <w:right w:val="single" w:color="000000" w:sz="8" w:space="0"/>
            </w:tcBorders>
            <w:noWrap w:val="0"/>
            <w:vAlign w:val="center"/>
          </w:tcPr>
          <w:p w14:paraId="52905A5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10,272,767.73</w:t>
            </w:r>
          </w:p>
        </w:tc>
        <w:tc>
          <w:tcPr>
            <w:tcW w:w="803" w:type="pct"/>
            <w:tcBorders>
              <w:top w:val="nil"/>
              <w:left w:val="nil"/>
              <w:bottom w:val="single" w:color="000000" w:sz="8" w:space="0"/>
              <w:right w:val="single" w:color="000000" w:sz="8" w:space="0"/>
            </w:tcBorders>
            <w:noWrap w:val="0"/>
            <w:vAlign w:val="center"/>
          </w:tcPr>
          <w:p w14:paraId="365F655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10,491,746.77</w:t>
            </w:r>
          </w:p>
        </w:tc>
      </w:tr>
      <w:tr w14:paraId="3D07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6B5809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20</w:t>
            </w:r>
          </w:p>
        </w:tc>
        <w:tc>
          <w:tcPr>
            <w:tcW w:w="714" w:type="pct"/>
            <w:tcBorders>
              <w:top w:val="nil"/>
              <w:left w:val="nil"/>
              <w:bottom w:val="single" w:color="000000" w:sz="8" w:space="0"/>
              <w:right w:val="single" w:color="000000" w:sz="8" w:space="0"/>
            </w:tcBorders>
            <w:noWrap w:val="0"/>
            <w:vAlign w:val="center"/>
          </w:tcPr>
          <w:p w14:paraId="609257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净稳定资金比例（%）</w:t>
            </w:r>
          </w:p>
        </w:tc>
        <w:tc>
          <w:tcPr>
            <w:tcW w:w="803" w:type="pct"/>
            <w:tcBorders>
              <w:top w:val="nil"/>
              <w:left w:val="nil"/>
              <w:bottom w:val="single" w:color="000000" w:sz="8" w:space="0"/>
              <w:right w:val="single" w:color="000000" w:sz="8" w:space="0"/>
            </w:tcBorders>
            <w:noWrap w:val="0"/>
            <w:vAlign w:val="center"/>
          </w:tcPr>
          <w:p w14:paraId="4BCC2CF1">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141.91</w:t>
            </w:r>
          </w:p>
        </w:tc>
        <w:tc>
          <w:tcPr>
            <w:tcW w:w="803" w:type="pct"/>
            <w:tcBorders>
              <w:top w:val="nil"/>
              <w:left w:val="nil"/>
              <w:bottom w:val="single" w:color="000000" w:sz="8" w:space="0"/>
              <w:right w:val="single" w:color="000000" w:sz="8" w:space="0"/>
            </w:tcBorders>
            <w:noWrap w:val="0"/>
            <w:vAlign w:val="center"/>
          </w:tcPr>
          <w:p w14:paraId="7DA0A967">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143.34</w:t>
            </w:r>
          </w:p>
        </w:tc>
        <w:tc>
          <w:tcPr>
            <w:tcW w:w="803" w:type="pct"/>
            <w:tcBorders>
              <w:top w:val="nil"/>
              <w:left w:val="nil"/>
              <w:bottom w:val="single" w:color="000000" w:sz="8" w:space="0"/>
              <w:right w:val="single" w:color="000000" w:sz="8" w:space="0"/>
            </w:tcBorders>
            <w:noWrap w:val="0"/>
            <w:vAlign w:val="center"/>
          </w:tcPr>
          <w:p w14:paraId="3C29B333">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143.9</w:t>
            </w:r>
          </w:p>
        </w:tc>
        <w:tc>
          <w:tcPr>
            <w:tcW w:w="803" w:type="pct"/>
            <w:tcBorders>
              <w:top w:val="nil"/>
              <w:left w:val="nil"/>
              <w:bottom w:val="single" w:color="000000" w:sz="8" w:space="0"/>
              <w:right w:val="single" w:color="000000" w:sz="8" w:space="0"/>
            </w:tcBorders>
            <w:noWrap w:val="0"/>
            <w:vAlign w:val="center"/>
          </w:tcPr>
          <w:p w14:paraId="50822DDE">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146.21</w:t>
            </w:r>
          </w:p>
        </w:tc>
        <w:tc>
          <w:tcPr>
            <w:tcW w:w="803" w:type="pct"/>
            <w:tcBorders>
              <w:top w:val="nil"/>
              <w:left w:val="nil"/>
              <w:bottom w:val="single" w:color="000000" w:sz="8" w:space="0"/>
              <w:right w:val="single" w:color="000000" w:sz="8" w:space="0"/>
            </w:tcBorders>
            <w:noWrap w:val="0"/>
            <w:vAlign w:val="center"/>
          </w:tcPr>
          <w:p w14:paraId="2C8040BB">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143.75</w:t>
            </w:r>
          </w:p>
        </w:tc>
      </w:tr>
      <w:tr w14:paraId="0738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shd w:val="clear" w:color="auto" w:fill="D9D9D9"/>
            <w:noWrap w:val="0"/>
            <w:vAlign w:val="bottom"/>
          </w:tcPr>
          <w:p w14:paraId="30A39CFA">
            <w:pPr>
              <w:keepNext w:val="0"/>
              <w:keepLines w:val="0"/>
              <w:pageBreakBefore w:val="0"/>
              <w:kinsoku/>
              <w:wordWrap/>
              <w:overflowPunct/>
              <w:topLinePunct w:val="0"/>
              <w:autoSpaceDE/>
              <w:autoSpaceDN/>
              <w:bidi w:val="0"/>
              <w:adjustRightInd/>
              <w:snapToGrid/>
              <w:jc w:val="left"/>
              <w:rPr>
                <w:rFonts w:hint="eastAsia" w:ascii="Arial Narrow" w:hAnsi="Arial Narrow" w:eastAsia="仿宋_GB2312" w:cs="黑体"/>
                <w:i w:val="0"/>
                <w:iCs w:val="0"/>
                <w:color w:val="000000"/>
                <w:sz w:val="21"/>
                <w:szCs w:val="20"/>
                <w:u w:val="none"/>
              </w:rPr>
            </w:pPr>
          </w:p>
        </w:tc>
        <w:tc>
          <w:tcPr>
            <w:tcW w:w="4731" w:type="pct"/>
            <w:gridSpan w:val="6"/>
            <w:tcBorders>
              <w:top w:val="nil"/>
              <w:left w:val="nil"/>
              <w:bottom w:val="single" w:color="000000" w:sz="8" w:space="0"/>
              <w:right w:val="single" w:color="000000" w:sz="8" w:space="0"/>
            </w:tcBorders>
            <w:shd w:val="clear" w:color="auto" w:fill="D9D9D9"/>
            <w:noWrap w:val="0"/>
            <w:vAlign w:val="center"/>
          </w:tcPr>
          <w:p w14:paraId="4246E1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18"/>
                <w:u w:val="none"/>
              </w:rPr>
            </w:pPr>
            <w:r>
              <w:rPr>
                <w:rFonts w:hint="eastAsia" w:ascii="Arial Narrow" w:hAnsi="Arial Narrow" w:eastAsia="仿宋_GB2312" w:cs="黑体"/>
                <w:i w:val="0"/>
                <w:iCs w:val="0"/>
                <w:color w:val="000000"/>
                <w:kern w:val="0"/>
                <w:sz w:val="21"/>
                <w:szCs w:val="18"/>
                <w:u w:val="none"/>
                <w:lang w:val="en-US" w:eastAsia="zh-CN" w:bidi="ar"/>
              </w:rPr>
              <w:t>流动性比例</w:t>
            </w:r>
          </w:p>
        </w:tc>
      </w:tr>
      <w:tr w14:paraId="00F7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268" w:type="pct"/>
            <w:tcBorders>
              <w:top w:val="nil"/>
              <w:left w:val="single" w:color="000000" w:sz="8" w:space="0"/>
              <w:bottom w:val="single" w:color="000000" w:sz="8" w:space="0"/>
              <w:right w:val="single" w:color="000000" w:sz="8" w:space="0"/>
            </w:tcBorders>
            <w:noWrap w:val="0"/>
            <w:vAlign w:val="center"/>
          </w:tcPr>
          <w:p w14:paraId="50A4A1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Arial Narrow" w:hAnsi="Arial Narrow" w:eastAsia="仿宋_GB2312" w:cs="黑体"/>
                <w:i w:val="0"/>
                <w:iCs w:val="0"/>
                <w:color w:val="000000"/>
                <w:sz w:val="21"/>
                <w:szCs w:val="16"/>
                <w:u w:val="none"/>
              </w:rPr>
            </w:pPr>
            <w:r>
              <w:rPr>
                <w:rFonts w:hint="eastAsia" w:ascii="Arial Narrow" w:hAnsi="Arial Narrow" w:eastAsia="仿宋_GB2312" w:cs="黑体"/>
                <w:i w:val="0"/>
                <w:iCs w:val="0"/>
                <w:color w:val="000000"/>
                <w:kern w:val="0"/>
                <w:sz w:val="21"/>
                <w:szCs w:val="16"/>
                <w:u w:val="none"/>
                <w:lang w:val="en-US" w:eastAsia="zh-CN" w:bidi="ar"/>
              </w:rPr>
              <w:t>21</w:t>
            </w:r>
          </w:p>
        </w:tc>
        <w:tc>
          <w:tcPr>
            <w:tcW w:w="714" w:type="pct"/>
            <w:tcBorders>
              <w:top w:val="nil"/>
              <w:left w:val="nil"/>
              <w:bottom w:val="single" w:color="000000" w:sz="8" w:space="0"/>
              <w:right w:val="single" w:color="000000" w:sz="8" w:space="0"/>
            </w:tcBorders>
            <w:noWrap w:val="0"/>
            <w:vAlign w:val="center"/>
          </w:tcPr>
          <w:p w14:paraId="19E5C80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Arial Narrow" w:hAnsi="Arial Narrow" w:eastAsia="仿宋_GB2312" w:cs="黑体"/>
                <w:i w:val="0"/>
                <w:iCs w:val="0"/>
                <w:color w:val="000000"/>
                <w:sz w:val="21"/>
                <w:szCs w:val="20"/>
                <w:u w:val="none"/>
              </w:rPr>
            </w:pPr>
            <w:r>
              <w:rPr>
                <w:rFonts w:hint="eastAsia" w:ascii="Arial Narrow" w:hAnsi="Arial Narrow" w:eastAsia="仿宋_GB2312" w:cs="黑体"/>
                <w:i w:val="0"/>
                <w:iCs w:val="0"/>
                <w:color w:val="000000"/>
                <w:kern w:val="0"/>
                <w:sz w:val="21"/>
                <w:szCs w:val="20"/>
                <w:u w:val="none"/>
                <w:lang w:val="en-US" w:eastAsia="zh-CN" w:bidi="ar"/>
              </w:rPr>
              <w:t>流动性比例（%）</w:t>
            </w:r>
          </w:p>
        </w:tc>
        <w:tc>
          <w:tcPr>
            <w:tcW w:w="803" w:type="pct"/>
            <w:tcBorders>
              <w:top w:val="single" w:color="000000" w:sz="8" w:space="0"/>
              <w:left w:val="nil"/>
              <w:bottom w:val="single" w:color="000000" w:sz="8" w:space="0"/>
              <w:right w:val="single" w:color="000000" w:sz="8" w:space="0"/>
            </w:tcBorders>
            <w:noWrap w:val="0"/>
            <w:vAlign w:val="center"/>
          </w:tcPr>
          <w:p w14:paraId="595B3126">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78.95</w:t>
            </w:r>
          </w:p>
        </w:tc>
        <w:tc>
          <w:tcPr>
            <w:tcW w:w="803" w:type="pct"/>
            <w:tcBorders>
              <w:top w:val="single" w:color="000000" w:sz="8" w:space="0"/>
              <w:left w:val="nil"/>
              <w:bottom w:val="single" w:color="000000" w:sz="8" w:space="0"/>
              <w:right w:val="single" w:color="000000" w:sz="8" w:space="0"/>
            </w:tcBorders>
            <w:noWrap w:val="0"/>
            <w:vAlign w:val="center"/>
          </w:tcPr>
          <w:p w14:paraId="09A542B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83.5</w:t>
            </w:r>
          </w:p>
        </w:tc>
        <w:tc>
          <w:tcPr>
            <w:tcW w:w="803" w:type="pct"/>
            <w:tcBorders>
              <w:top w:val="single" w:color="000000" w:sz="8" w:space="0"/>
              <w:left w:val="nil"/>
              <w:bottom w:val="single" w:color="000000" w:sz="8" w:space="0"/>
              <w:right w:val="single" w:color="000000" w:sz="8" w:space="0"/>
            </w:tcBorders>
            <w:noWrap w:val="0"/>
            <w:vAlign w:val="center"/>
          </w:tcPr>
          <w:p w14:paraId="5B31C139">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69.42</w:t>
            </w:r>
          </w:p>
        </w:tc>
        <w:tc>
          <w:tcPr>
            <w:tcW w:w="803" w:type="pct"/>
            <w:tcBorders>
              <w:top w:val="single" w:color="000000" w:sz="8" w:space="0"/>
              <w:left w:val="nil"/>
              <w:bottom w:val="single" w:color="000000" w:sz="8" w:space="0"/>
              <w:right w:val="single" w:color="000000" w:sz="8" w:space="0"/>
            </w:tcBorders>
            <w:noWrap w:val="0"/>
            <w:vAlign w:val="center"/>
          </w:tcPr>
          <w:p w14:paraId="74AD3E2F">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83.34</w:t>
            </w:r>
          </w:p>
        </w:tc>
        <w:tc>
          <w:tcPr>
            <w:tcW w:w="803" w:type="pct"/>
            <w:tcBorders>
              <w:top w:val="single" w:color="000000" w:sz="8" w:space="0"/>
              <w:left w:val="nil"/>
              <w:bottom w:val="single" w:color="000000" w:sz="8" w:space="0"/>
              <w:right w:val="single" w:color="000000" w:sz="8" w:space="0"/>
            </w:tcBorders>
            <w:noWrap w:val="0"/>
            <w:vAlign w:val="center"/>
          </w:tcPr>
          <w:p w14:paraId="292AAB84">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default" w:ascii="Arial Narrow" w:hAnsi="Arial Narrow" w:eastAsia="仿宋_GB2312" w:cs="Times New Roman"/>
                <w:i w:val="0"/>
                <w:iCs w:val="0"/>
                <w:color w:val="000000"/>
                <w:sz w:val="21"/>
                <w:szCs w:val="20"/>
                <w:u w:val="none"/>
              </w:rPr>
            </w:pPr>
            <w:r>
              <w:rPr>
                <w:rFonts w:hint="default" w:ascii="Arial Narrow" w:hAnsi="Arial Narrow" w:eastAsia="仿宋_GB2312" w:cs="Times New Roman"/>
                <w:i w:val="0"/>
                <w:iCs w:val="0"/>
                <w:color w:val="000000"/>
                <w:kern w:val="0"/>
                <w:sz w:val="21"/>
                <w:szCs w:val="20"/>
                <w:u w:val="none"/>
                <w:lang w:val="en-US" w:eastAsia="zh-CN" w:bidi="ar"/>
              </w:rPr>
              <w:t>84.33</w:t>
            </w:r>
          </w:p>
        </w:tc>
      </w:tr>
    </w:tbl>
    <w:p w14:paraId="55DFF6D9">
      <w:pPr>
        <w:pStyle w:val="17"/>
        <w:bidi w:val="0"/>
        <w:rPr>
          <w:rFonts w:hint="eastAsia"/>
        </w:rPr>
      </w:pPr>
      <w:r>
        <w:rPr>
          <w:rFonts w:hint="eastAsia"/>
        </w:rPr>
        <w:t>注：杠杆率a是指不考虑临时豁免存款准备金计算的杠杆率。</w:t>
      </w:r>
    </w:p>
    <w:p w14:paraId="6933D4F7">
      <w:pPr>
        <w:pStyle w:val="21"/>
        <w:bidi w:val="0"/>
      </w:pPr>
      <w:r>
        <w:t>2.2 风险加权资产概况</w:t>
      </w:r>
    </w:p>
    <w:p w14:paraId="33D33E6F">
      <w:pPr>
        <w:pStyle w:val="17"/>
        <w:bidi w:val="0"/>
        <w:rPr>
          <w:rFonts w:hint="eastAsia"/>
        </w:rPr>
      </w:pPr>
      <w:r>
        <w:rPr>
          <w:rFonts w:hint="eastAsia"/>
        </w:rPr>
        <w:t>下表列示本行风险加权资产和最低资本要求。</w:t>
      </w:r>
    </w:p>
    <w:p w14:paraId="61704815">
      <w:pPr>
        <w:pStyle w:val="17"/>
        <w:bidi w:val="0"/>
        <w:ind w:left="0" w:leftChars="0" w:firstLine="0" w:firstLineChars="0"/>
        <w:jc w:val="center"/>
        <w:rPr>
          <w:rFonts w:hint="eastAsia"/>
          <w:b/>
          <w:bCs/>
        </w:rPr>
      </w:pPr>
      <w:r>
        <w:rPr>
          <w:rFonts w:hint="eastAsia"/>
          <w:b/>
          <w:bCs/>
        </w:rPr>
        <w:t>表格 OV1：风险加权资产概况</w:t>
      </w:r>
    </w:p>
    <w:p w14:paraId="74DC7C1F">
      <w:pPr>
        <w:pStyle w:val="17"/>
        <w:bidi w:val="0"/>
        <w:ind w:left="0" w:leftChars="0" w:firstLine="0" w:firstLineChars="0"/>
        <w:jc w:val="right"/>
        <w:rPr>
          <w:rFonts w:hint="eastAsia"/>
        </w:rPr>
      </w:pPr>
      <w:r>
        <w:rPr>
          <w:rFonts w:hint="eastAsia"/>
        </w:rPr>
        <w:t>单位：人民币万元</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9"/>
        <w:gridCol w:w="2303"/>
        <w:gridCol w:w="1738"/>
        <w:gridCol w:w="1929"/>
        <w:gridCol w:w="2063"/>
      </w:tblGrid>
      <w:tr w14:paraId="75326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5" w:type="dxa"/>
            <w:gridSpan w:val="2"/>
            <w:vMerge w:val="restart"/>
            <w:tcBorders>
              <w:top w:val="single" w:color="000000" w:sz="8" w:space="0"/>
              <w:left w:val="single" w:color="000000" w:sz="8" w:space="0"/>
              <w:bottom w:val="single" w:color="000000" w:sz="8" w:space="0"/>
              <w:right w:val="single" w:color="000000" w:sz="8" w:space="0"/>
            </w:tcBorders>
            <w:noWrap/>
            <w:vAlign w:val="center"/>
          </w:tcPr>
          <w:p w14:paraId="1D6E69AF">
            <w:pPr>
              <w:rPr>
                <w:rFonts w:hint="eastAsia" w:ascii="Arial Narrow" w:hAnsi="Arial Narrow" w:eastAsia="仿宋_GB2312" w:cs="宋体"/>
                <w:b/>
                <w:bCs/>
                <w:i w:val="0"/>
                <w:iCs w:val="0"/>
                <w:color w:val="000000"/>
                <w:sz w:val="21"/>
                <w:szCs w:val="22"/>
                <w:u w:val="none"/>
              </w:rPr>
            </w:pPr>
          </w:p>
        </w:tc>
        <w:tc>
          <w:tcPr>
            <w:tcW w:w="1752" w:type="dxa"/>
            <w:tcBorders>
              <w:top w:val="single" w:color="000000" w:sz="8" w:space="0"/>
              <w:left w:val="nil"/>
              <w:bottom w:val="single" w:color="000000" w:sz="8" w:space="0"/>
              <w:right w:val="single" w:color="000000" w:sz="8" w:space="0"/>
            </w:tcBorders>
            <w:noWrap w:val="0"/>
            <w:vAlign w:val="center"/>
          </w:tcPr>
          <w:p w14:paraId="79A46756">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a</w:t>
            </w:r>
          </w:p>
        </w:tc>
        <w:tc>
          <w:tcPr>
            <w:tcW w:w="1950" w:type="dxa"/>
            <w:tcBorders>
              <w:top w:val="single" w:color="000000" w:sz="8" w:space="0"/>
              <w:left w:val="nil"/>
              <w:bottom w:val="single" w:color="000000" w:sz="8" w:space="0"/>
              <w:right w:val="single" w:color="000000" w:sz="8" w:space="0"/>
            </w:tcBorders>
            <w:noWrap w:val="0"/>
            <w:vAlign w:val="center"/>
          </w:tcPr>
          <w:p w14:paraId="22FDC8B1">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b</w:t>
            </w:r>
          </w:p>
        </w:tc>
        <w:tc>
          <w:tcPr>
            <w:tcW w:w="2092" w:type="dxa"/>
            <w:tcBorders>
              <w:top w:val="single" w:color="000000" w:sz="8" w:space="0"/>
              <w:left w:val="nil"/>
              <w:bottom w:val="single" w:color="000000" w:sz="8" w:space="0"/>
              <w:right w:val="single" w:color="000000" w:sz="8" w:space="0"/>
            </w:tcBorders>
            <w:noWrap w:val="0"/>
            <w:vAlign w:val="center"/>
          </w:tcPr>
          <w:p w14:paraId="62295552">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c</w:t>
            </w:r>
          </w:p>
        </w:tc>
      </w:tr>
      <w:tr w14:paraId="3D1E0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5"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79F3610">
            <w:pPr>
              <w:rPr>
                <w:rFonts w:hint="eastAsia" w:ascii="Arial Narrow" w:hAnsi="Arial Narrow" w:eastAsia="仿宋_GB2312" w:cs="宋体"/>
                <w:b/>
                <w:bCs/>
                <w:i w:val="0"/>
                <w:iCs w:val="0"/>
                <w:color w:val="000000"/>
                <w:sz w:val="21"/>
                <w:szCs w:val="22"/>
                <w:u w:val="none"/>
              </w:rPr>
            </w:pPr>
          </w:p>
        </w:tc>
        <w:tc>
          <w:tcPr>
            <w:tcW w:w="3702" w:type="dxa"/>
            <w:gridSpan w:val="2"/>
            <w:tcBorders>
              <w:top w:val="nil"/>
              <w:left w:val="nil"/>
              <w:bottom w:val="single" w:color="000000" w:sz="8" w:space="0"/>
              <w:right w:val="single" w:color="000000" w:sz="8" w:space="0"/>
            </w:tcBorders>
            <w:noWrap w:val="0"/>
            <w:vAlign w:val="center"/>
          </w:tcPr>
          <w:p w14:paraId="55CB0C86">
            <w:pPr>
              <w:keepNext w:val="0"/>
              <w:keepLines w:val="0"/>
              <w:widowControl/>
              <w:suppressLineNumbers w:val="0"/>
              <w:jc w:val="center"/>
              <w:textAlignment w:val="center"/>
              <w:rPr>
                <w:rFonts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风险加权资产</w:t>
            </w:r>
          </w:p>
        </w:tc>
        <w:tc>
          <w:tcPr>
            <w:tcW w:w="2092" w:type="dxa"/>
            <w:tcBorders>
              <w:top w:val="nil"/>
              <w:left w:val="nil"/>
              <w:bottom w:val="single" w:color="000000" w:sz="8" w:space="0"/>
              <w:right w:val="single" w:color="000000" w:sz="8" w:space="0"/>
            </w:tcBorders>
            <w:noWrap w:val="0"/>
            <w:vAlign w:val="center"/>
          </w:tcPr>
          <w:p w14:paraId="5C80062F">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最低资本要求</w:t>
            </w:r>
          </w:p>
        </w:tc>
      </w:tr>
      <w:tr w14:paraId="76BE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5"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68E5FBA">
            <w:pPr>
              <w:rPr>
                <w:rFonts w:hint="eastAsia" w:ascii="Arial Narrow" w:hAnsi="Arial Narrow" w:eastAsia="仿宋_GB2312" w:cs="宋体"/>
                <w:b/>
                <w:bCs/>
                <w:i w:val="0"/>
                <w:iCs w:val="0"/>
                <w:color w:val="000000"/>
                <w:sz w:val="21"/>
                <w:szCs w:val="22"/>
                <w:u w:val="none"/>
              </w:rPr>
            </w:pPr>
          </w:p>
        </w:tc>
        <w:tc>
          <w:tcPr>
            <w:tcW w:w="1752" w:type="dxa"/>
            <w:tcBorders>
              <w:top w:val="nil"/>
              <w:left w:val="nil"/>
              <w:bottom w:val="single" w:color="000000" w:sz="8" w:space="0"/>
              <w:right w:val="single" w:color="000000" w:sz="8" w:space="0"/>
            </w:tcBorders>
            <w:noWrap w:val="0"/>
            <w:vAlign w:val="center"/>
          </w:tcPr>
          <w:p w14:paraId="48031D81">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2026年6月30日</w:t>
            </w:r>
          </w:p>
        </w:tc>
        <w:tc>
          <w:tcPr>
            <w:tcW w:w="1950" w:type="dxa"/>
            <w:tcBorders>
              <w:top w:val="nil"/>
              <w:left w:val="nil"/>
              <w:bottom w:val="single" w:color="000000" w:sz="8" w:space="0"/>
              <w:right w:val="single" w:color="000000" w:sz="8" w:space="0"/>
            </w:tcBorders>
            <w:noWrap w:val="0"/>
            <w:vAlign w:val="center"/>
          </w:tcPr>
          <w:p w14:paraId="1036B8B7">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2026年3月31日</w:t>
            </w:r>
          </w:p>
        </w:tc>
        <w:tc>
          <w:tcPr>
            <w:tcW w:w="2092" w:type="dxa"/>
            <w:tcBorders>
              <w:top w:val="nil"/>
              <w:left w:val="nil"/>
              <w:bottom w:val="single" w:color="000000" w:sz="8" w:space="0"/>
              <w:right w:val="single" w:color="000000" w:sz="8" w:space="0"/>
            </w:tcBorders>
            <w:noWrap w:val="0"/>
            <w:vAlign w:val="center"/>
          </w:tcPr>
          <w:p w14:paraId="7A24ED58">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2026年6月30日</w:t>
            </w:r>
          </w:p>
        </w:tc>
      </w:tr>
      <w:tr w14:paraId="28F64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noWrap w:val="0"/>
            <w:vAlign w:val="center"/>
          </w:tcPr>
          <w:p w14:paraId="78AAFFC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w:t>
            </w:r>
          </w:p>
        </w:tc>
        <w:tc>
          <w:tcPr>
            <w:tcW w:w="2309" w:type="dxa"/>
            <w:tcBorders>
              <w:top w:val="nil"/>
              <w:left w:val="nil"/>
              <w:bottom w:val="single" w:color="000000" w:sz="8" w:space="0"/>
              <w:right w:val="single" w:color="000000" w:sz="8" w:space="0"/>
            </w:tcBorders>
            <w:noWrap w:val="0"/>
            <w:vAlign w:val="center"/>
          </w:tcPr>
          <w:p w14:paraId="7D0AF94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信用风险</w:t>
            </w:r>
          </w:p>
        </w:tc>
        <w:tc>
          <w:tcPr>
            <w:tcW w:w="1752" w:type="dxa"/>
            <w:tcBorders>
              <w:top w:val="nil"/>
              <w:left w:val="nil"/>
              <w:bottom w:val="single" w:color="000000" w:sz="8" w:space="0"/>
              <w:right w:val="single" w:color="000000" w:sz="8" w:space="0"/>
            </w:tcBorders>
            <w:noWrap w:val="0"/>
            <w:vAlign w:val="center"/>
          </w:tcPr>
          <w:p w14:paraId="490CD510">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13,968,795.50</w:t>
            </w:r>
          </w:p>
        </w:tc>
        <w:tc>
          <w:tcPr>
            <w:tcW w:w="1950" w:type="dxa"/>
            <w:tcBorders>
              <w:top w:val="nil"/>
              <w:left w:val="nil"/>
              <w:bottom w:val="single" w:color="000000" w:sz="8" w:space="0"/>
              <w:right w:val="single" w:color="000000" w:sz="8" w:space="0"/>
            </w:tcBorders>
            <w:noWrap w:val="0"/>
            <w:vAlign w:val="center"/>
          </w:tcPr>
          <w:p w14:paraId="5EF6FE7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13,642,634.45</w:t>
            </w:r>
          </w:p>
        </w:tc>
        <w:tc>
          <w:tcPr>
            <w:tcW w:w="2092" w:type="dxa"/>
            <w:tcBorders>
              <w:top w:val="single" w:color="000000" w:sz="8" w:space="0"/>
              <w:left w:val="nil"/>
              <w:bottom w:val="single" w:color="000000" w:sz="8" w:space="0"/>
              <w:right w:val="single" w:color="000000" w:sz="8" w:space="0"/>
            </w:tcBorders>
            <w:noWrap w:val="0"/>
            <w:vAlign w:val="center"/>
          </w:tcPr>
          <w:p w14:paraId="350BEAF7">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1,117,503.64</w:t>
            </w:r>
          </w:p>
        </w:tc>
      </w:tr>
      <w:tr w14:paraId="7E54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noWrap w:val="0"/>
            <w:vAlign w:val="center"/>
          </w:tcPr>
          <w:p w14:paraId="02C665C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w:t>
            </w:r>
          </w:p>
        </w:tc>
        <w:tc>
          <w:tcPr>
            <w:tcW w:w="2309" w:type="dxa"/>
            <w:tcBorders>
              <w:top w:val="nil"/>
              <w:left w:val="nil"/>
              <w:bottom w:val="single" w:color="000000" w:sz="8" w:space="0"/>
              <w:right w:val="single" w:color="000000" w:sz="8" w:space="0"/>
            </w:tcBorders>
            <w:noWrap w:val="0"/>
            <w:vAlign w:val="center"/>
          </w:tcPr>
          <w:p w14:paraId="4DBB6F1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市场风险</w:t>
            </w:r>
          </w:p>
        </w:tc>
        <w:tc>
          <w:tcPr>
            <w:tcW w:w="1752" w:type="dxa"/>
            <w:tcBorders>
              <w:top w:val="nil"/>
              <w:left w:val="nil"/>
              <w:bottom w:val="single" w:color="000000" w:sz="8" w:space="0"/>
              <w:right w:val="single" w:color="000000" w:sz="8" w:space="0"/>
            </w:tcBorders>
            <w:noWrap w:val="0"/>
            <w:vAlign w:val="center"/>
          </w:tcPr>
          <w:p w14:paraId="5FE225C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764,582.54</w:t>
            </w:r>
          </w:p>
        </w:tc>
        <w:tc>
          <w:tcPr>
            <w:tcW w:w="1950" w:type="dxa"/>
            <w:tcBorders>
              <w:top w:val="nil"/>
              <w:left w:val="nil"/>
              <w:bottom w:val="single" w:color="000000" w:sz="8" w:space="0"/>
              <w:right w:val="single" w:color="000000" w:sz="8" w:space="0"/>
            </w:tcBorders>
            <w:noWrap w:val="0"/>
            <w:vAlign w:val="center"/>
          </w:tcPr>
          <w:p w14:paraId="7332FA1D">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502,381.09</w:t>
            </w:r>
          </w:p>
        </w:tc>
        <w:tc>
          <w:tcPr>
            <w:tcW w:w="2092" w:type="dxa"/>
            <w:tcBorders>
              <w:top w:val="nil"/>
              <w:left w:val="nil"/>
              <w:bottom w:val="single" w:color="000000" w:sz="8" w:space="0"/>
              <w:right w:val="single" w:color="000000" w:sz="8" w:space="0"/>
            </w:tcBorders>
            <w:noWrap w:val="0"/>
            <w:vAlign w:val="center"/>
          </w:tcPr>
          <w:p w14:paraId="6BC2B3C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61,166.60</w:t>
            </w:r>
          </w:p>
        </w:tc>
      </w:tr>
      <w:tr w14:paraId="1912B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noWrap w:val="0"/>
            <w:vAlign w:val="center"/>
          </w:tcPr>
          <w:p w14:paraId="0FC947D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3</w:t>
            </w:r>
          </w:p>
        </w:tc>
        <w:tc>
          <w:tcPr>
            <w:tcW w:w="2309" w:type="dxa"/>
            <w:tcBorders>
              <w:top w:val="nil"/>
              <w:left w:val="nil"/>
              <w:bottom w:val="single" w:color="000000" w:sz="8" w:space="0"/>
              <w:right w:val="single" w:color="000000" w:sz="8" w:space="0"/>
            </w:tcBorders>
            <w:noWrap w:val="0"/>
            <w:vAlign w:val="center"/>
          </w:tcPr>
          <w:p w14:paraId="05FDC66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操作风险</w:t>
            </w:r>
          </w:p>
        </w:tc>
        <w:tc>
          <w:tcPr>
            <w:tcW w:w="1752" w:type="dxa"/>
            <w:tcBorders>
              <w:top w:val="nil"/>
              <w:left w:val="nil"/>
              <w:bottom w:val="single" w:color="000000" w:sz="8" w:space="0"/>
              <w:right w:val="single" w:color="000000" w:sz="8" w:space="0"/>
            </w:tcBorders>
            <w:noWrap w:val="0"/>
            <w:vAlign w:val="center"/>
          </w:tcPr>
          <w:p w14:paraId="5985EEB9">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664,689.33</w:t>
            </w:r>
          </w:p>
        </w:tc>
        <w:tc>
          <w:tcPr>
            <w:tcW w:w="1950" w:type="dxa"/>
            <w:tcBorders>
              <w:top w:val="nil"/>
              <w:left w:val="nil"/>
              <w:bottom w:val="single" w:color="000000" w:sz="8" w:space="0"/>
              <w:right w:val="single" w:color="000000" w:sz="8" w:space="0"/>
            </w:tcBorders>
            <w:noWrap w:val="0"/>
            <w:vAlign w:val="center"/>
          </w:tcPr>
          <w:p w14:paraId="24BD0D5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664,689.33</w:t>
            </w:r>
          </w:p>
        </w:tc>
        <w:tc>
          <w:tcPr>
            <w:tcW w:w="2092" w:type="dxa"/>
            <w:tcBorders>
              <w:top w:val="nil"/>
              <w:left w:val="nil"/>
              <w:bottom w:val="single" w:color="000000" w:sz="8" w:space="0"/>
              <w:right w:val="single" w:color="000000" w:sz="8" w:space="0"/>
            </w:tcBorders>
            <w:noWrap w:val="0"/>
            <w:vAlign w:val="center"/>
          </w:tcPr>
          <w:p w14:paraId="76FEB4C8">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53,175.15</w:t>
            </w:r>
          </w:p>
        </w:tc>
      </w:tr>
      <w:tr w14:paraId="68E44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noWrap w:val="0"/>
            <w:vAlign w:val="center"/>
          </w:tcPr>
          <w:p w14:paraId="273BCC0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4</w:t>
            </w:r>
          </w:p>
        </w:tc>
        <w:tc>
          <w:tcPr>
            <w:tcW w:w="2309" w:type="dxa"/>
            <w:tcBorders>
              <w:top w:val="nil"/>
              <w:left w:val="nil"/>
              <w:bottom w:val="single" w:color="000000" w:sz="8" w:space="0"/>
              <w:right w:val="single" w:color="000000" w:sz="8" w:space="0"/>
            </w:tcBorders>
            <w:noWrap w:val="0"/>
            <w:vAlign w:val="center"/>
          </w:tcPr>
          <w:p w14:paraId="5928E31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交易账簿和银行账簿间转换的资本要求</w:t>
            </w:r>
          </w:p>
        </w:tc>
        <w:tc>
          <w:tcPr>
            <w:tcW w:w="1752" w:type="dxa"/>
            <w:tcBorders>
              <w:top w:val="nil"/>
              <w:left w:val="nil"/>
              <w:bottom w:val="single" w:color="000000" w:sz="8" w:space="0"/>
              <w:right w:val="single" w:color="000000" w:sz="8" w:space="0"/>
            </w:tcBorders>
            <w:noWrap w:val="0"/>
            <w:vAlign w:val="center"/>
          </w:tcPr>
          <w:p w14:paraId="4913B10D">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w:t>
            </w:r>
          </w:p>
        </w:tc>
        <w:tc>
          <w:tcPr>
            <w:tcW w:w="1950" w:type="dxa"/>
            <w:tcBorders>
              <w:top w:val="nil"/>
              <w:left w:val="nil"/>
              <w:bottom w:val="single" w:color="000000" w:sz="8" w:space="0"/>
              <w:right w:val="single" w:color="000000" w:sz="8" w:space="0"/>
            </w:tcBorders>
            <w:noWrap w:val="0"/>
            <w:vAlign w:val="center"/>
          </w:tcPr>
          <w:p w14:paraId="538261E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w:t>
            </w:r>
          </w:p>
        </w:tc>
        <w:tc>
          <w:tcPr>
            <w:tcW w:w="2092" w:type="dxa"/>
            <w:tcBorders>
              <w:top w:val="nil"/>
              <w:left w:val="nil"/>
              <w:bottom w:val="single" w:color="000000" w:sz="8" w:space="0"/>
              <w:right w:val="single" w:color="000000" w:sz="8" w:space="0"/>
            </w:tcBorders>
            <w:noWrap w:val="0"/>
            <w:vAlign w:val="center"/>
          </w:tcPr>
          <w:p w14:paraId="71E9B30E">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w:t>
            </w:r>
          </w:p>
        </w:tc>
      </w:tr>
      <w:tr w14:paraId="706E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noWrap w:val="0"/>
            <w:vAlign w:val="center"/>
          </w:tcPr>
          <w:p w14:paraId="525E966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5</w:t>
            </w:r>
          </w:p>
        </w:tc>
        <w:tc>
          <w:tcPr>
            <w:tcW w:w="2309" w:type="dxa"/>
            <w:tcBorders>
              <w:top w:val="nil"/>
              <w:left w:val="nil"/>
              <w:bottom w:val="single" w:color="000000" w:sz="8" w:space="0"/>
              <w:right w:val="single" w:color="000000" w:sz="8" w:space="0"/>
            </w:tcBorders>
            <w:noWrap w:val="0"/>
            <w:vAlign w:val="center"/>
          </w:tcPr>
          <w:p w14:paraId="0A68F78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合计</w:t>
            </w:r>
          </w:p>
        </w:tc>
        <w:tc>
          <w:tcPr>
            <w:tcW w:w="1752" w:type="dxa"/>
            <w:tcBorders>
              <w:top w:val="nil"/>
              <w:left w:val="nil"/>
              <w:bottom w:val="single" w:color="000000" w:sz="8" w:space="0"/>
              <w:right w:val="single" w:color="000000" w:sz="8" w:space="0"/>
            </w:tcBorders>
            <w:noWrap w:val="0"/>
            <w:vAlign w:val="center"/>
          </w:tcPr>
          <w:p w14:paraId="7D1CA9B6">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15,398,067.37</w:t>
            </w:r>
          </w:p>
        </w:tc>
        <w:tc>
          <w:tcPr>
            <w:tcW w:w="1950" w:type="dxa"/>
            <w:tcBorders>
              <w:top w:val="nil"/>
              <w:left w:val="nil"/>
              <w:bottom w:val="single" w:color="000000" w:sz="8" w:space="0"/>
              <w:right w:val="single" w:color="000000" w:sz="8" w:space="0"/>
            </w:tcBorders>
            <w:noWrap w:val="0"/>
            <w:vAlign w:val="center"/>
          </w:tcPr>
          <w:p w14:paraId="4BA74AAD">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14,809,704.87</w:t>
            </w:r>
          </w:p>
        </w:tc>
        <w:tc>
          <w:tcPr>
            <w:tcW w:w="2092" w:type="dxa"/>
            <w:tcBorders>
              <w:top w:val="nil"/>
              <w:left w:val="nil"/>
              <w:bottom w:val="single" w:color="000000" w:sz="8" w:space="0"/>
              <w:right w:val="single" w:color="000000" w:sz="8" w:space="0"/>
            </w:tcBorders>
            <w:noWrap w:val="0"/>
            <w:vAlign w:val="center"/>
          </w:tcPr>
          <w:p w14:paraId="0D6C5794">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1,231,845.39</w:t>
            </w:r>
          </w:p>
        </w:tc>
      </w:tr>
    </w:tbl>
    <w:p w14:paraId="679334BB">
      <w:pPr>
        <w:pStyle w:val="6"/>
        <w:spacing w:before="78"/>
        <w:ind w:left="3225"/>
        <w:outlineLvl w:val="0"/>
        <w:rPr>
          <w:b/>
          <w:bCs/>
          <w:spacing w:val="-4"/>
        </w:rPr>
      </w:pPr>
    </w:p>
    <w:p w14:paraId="1486D9C9">
      <w:pPr>
        <w:pStyle w:val="21"/>
        <w:bidi w:val="0"/>
        <w:rPr>
          <w:rFonts w:hint="eastAsia"/>
          <w:lang w:eastAsia="zh-CN"/>
        </w:rPr>
      </w:pPr>
      <w:r>
        <w:t>3资本构成</w:t>
      </w:r>
    </w:p>
    <w:p w14:paraId="6C5CA594">
      <w:pPr>
        <w:pStyle w:val="21"/>
        <w:bidi w:val="0"/>
        <w:rPr>
          <w:rFonts w:hint="eastAsia"/>
          <w:lang w:eastAsia="zh-CN"/>
        </w:rPr>
      </w:pPr>
      <w:r>
        <w:t>3.1资本工具的主要特征</w:t>
      </w:r>
    </w:p>
    <w:p w14:paraId="5BD3978A">
      <w:pPr>
        <w:pStyle w:val="17"/>
        <w:bidi w:val="0"/>
      </w:pPr>
      <w:r>
        <w:t>本行对外发行的资本工具的主要特征已在官方网站公开披露，详见本行官网</w:t>
      </w:r>
      <w:r>
        <w:rPr>
          <w:rFonts w:hint="eastAsia"/>
        </w:rPr>
        <w:t>：</w:t>
      </w:r>
      <w:r>
        <w:fldChar w:fldCharType="begin"/>
      </w:r>
      <w:r>
        <w:instrText xml:space="preserve"> HYPERLINK "http://www.jybank.com.cn/" </w:instrText>
      </w:r>
      <w:r>
        <w:fldChar w:fldCharType="separate"/>
      </w:r>
      <w:r>
        <w:rPr>
          <w:rStyle w:val="16"/>
          <w:rFonts w:ascii="仿宋_GB2312" w:eastAsia="仿宋_GB2312"/>
          <w:spacing w:val="-5"/>
          <w:szCs w:val="32"/>
          <w:highlight w:val="none"/>
        </w:rPr>
        <w:t>http://www.jybank.com.cn/</w:t>
      </w:r>
      <w:r>
        <w:fldChar w:fldCharType="end"/>
      </w:r>
      <w:r>
        <w:t>。</w:t>
      </w:r>
    </w:p>
    <w:p w14:paraId="7772467F">
      <w:pPr>
        <w:pStyle w:val="21"/>
        <w:bidi w:val="0"/>
        <w:rPr>
          <w:rFonts w:hint="eastAsia"/>
          <w:lang w:val="en-US" w:eastAsia="zh-CN"/>
        </w:rPr>
      </w:pPr>
      <w:r>
        <w:t>3.2资本构成</w:t>
      </w:r>
    </w:p>
    <w:p w14:paraId="6C190979">
      <w:pPr>
        <w:pStyle w:val="17"/>
        <w:bidi w:val="0"/>
        <w:rPr>
          <w:rFonts w:hint="eastAsia"/>
        </w:rPr>
      </w:pPr>
      <w:r>
        <w:t>下表列示本行资本构成、最低监管资本要求等内容。</w:t>
      </w:r>
    </w:p>
    <w:p w14:paraId="4BAB6C92">
      <w:pPr>
        <w:pStyle w:val="17"/>
        <w:bidi w:val="0"/>
        <w:ind w:left="0" w:leftChars="0" w:firstLine="0" w:firstLineChars="0"/>
        <w:jc w:val="center"/>
        <w:rPr>
          <w:b/>
          <w:bCs/>
        </w:rPr>
      </w:pPr>
      <w:r>
        <w:rPr>
          <w:rFonts w:hint="eastAsia"/>
          <w:b/>
          <w:bCs/>
        </w:rPr>
        <w:t>表格CC1：资本构成</w:t>
      </w:r>
    </w:p>
    <w:p w14:paraId="1395E1B4">
      <w:pPr>
        <w:pStyle w:val="17"/>
        <w:bidi w:val="0"/>
        <w:ind w:left="0" w:leftChars="0" w:firstLine="0" w:firstLineChars="0"/>
        <w:jc w:val="right"/>
        <w:rPr>
          <w:rFonts w:hint="eastAsia"/>
        </w:rPr>
      </w:pPr>
      <w:r>
        <w:rPr>
          <w:rFonts w:hint="eastAsia"/>
        </w:rPr>
        <w:t>单位：人民币万元</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1"/>
        <w:gridCol w:w="3433"/>
        <w:gridCol w:w="1728"/>
        <w:gridCol w:w="2137"/>
      </w:tblGrid>
      <w:tr w14:paraId="3EBE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2" w:type="pct"/>
            <w:gridSpan w:val="2"/>
            <w:vMerge w:val="restart"/>
            <w:tcBorders>
              <w:top w:val="single" w:color="000000" w:sz="8" w:space="0"/>
              <w:left w:val="single" w:color="000000" w:sz="8" w:space="0"/>
              <w:bottom w:val="nil"/>
              <w:right w:val="single" w:color="000000" w:sz="8" w:space="0"/>
            </w:tcBorders>
            <w:noWrap/>
            <w:vAlign w:val="center"/>
          </w:tcPr>
          <w:p w14:paraId="5101E37B">
            <w:pPr>
              <w:rPr>
                <w:rFonts w:hint="eastAsia" w:ascii="Arial Narrow" w:hAnsi="Arial Narrow" w:eastAsia="仿宋_GB2312" w:cs="宋体"/>
                <w:b/>
                <w:bCs/>
                <w:i w:val="0"/>
                <w:iCs w:val="0"/>
                <w:color w:val="000000"/>
                <w:sz w:val="21"/>
                <w:szCs w:val="21"/>
                <w:u w:val="none"/>
              </w:rPr>
            </w:pPr>
          </w:p>
        </w:tc>
        <w:tc>
          <w:tcPr>
            <w:tcW w:w="1014" w:type="pct"/>
            <w:tcBorders>
              <w:top w:val="single" w:color="000000" w:sz="8" w:space="0"/>
              <w:left w:val="nil"/>
              <w:bottom w:val="single" w:color="000000" w:sz="8" w:space="0"/>
              <w:right w:val="single" w:color="000000" w:sz="8" w:space="0"/>
            </w:tcBorders>
            <w:noWrap w:val="0"/>
            <w:vAlign w:val="center"/>
          </w:tcPr>
          <w:p w14:paraId="1F6EF3A4">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1"/>
                <w:u w:val="none"/>
              </w:rPr>
            </w:pPr>
            <w:r>
              <w:rPr>
                <w:rFonts w:hint="default" w:ascii="Arial Narrow" w:hAnsi="Arial Narrow" w:eastAsia="仿宋_GB2312" w:cs="Times New Roman"/>
                <w:b/>
                <w:bCs/>
                <w:i w:val="0"/>
                <w:iCs w:val="0"/>
                <w:color w:val="000000"/>
                <w:kern w:val="0"/>
                <w:sz w:val="21"/>
                <w:szCs w:val="21"/>
                <w:u w:val="none"/>
                <w:lang w:val="en-US" w:eastAsia="zh-CN" w:bidi="ar"/>
              </w:rPr>
              <w:t>a</w:t>
            </w:r>
          </w:p>
        </w:tc>
        <w:tc>
          <w:tcPr>
            <w:tcW w:w="1253" w:type="pct"/>
            <w:vMerge w:val="restart"/>
            <w:tcBorders>
              <w:top w:val="single" w:color="000000" w:sz="8" w:space="0"/>
              <w:left w:val="nil"/>
              <w:bottom w:val="nil"/>
              <w:right w:val="single" w:color="000000" w:sz="8" w:space="0"/>
            </w:tcBorders>
            <w:noWrap w:val="0"/>
            <w:vAlign w:val="center"/>
          </w:tcPr>
          <w:p w14:paraId="70F144C3">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1"/>
                <w:u w:val="none"/>
              </w:rPr>
            </w:pPr>
            <w:r>
              <w:rPr>
                <w:rFonts w:hint="default" w:ascii="Arial Narrow" w:hAnsi="Arial Narrow" w:eastAsia="仿宋_GB2312" w:cs="Times New Roman"/>
                <w:b/>
                <w:bCs/>
                <w:i w:val="0"/>
                <w:iCs w:val="0"/>
                <w:color w:val="000000"/>
                <w:kern w:val="0"/>
                <w:sz w:val="21"/>
                <w:szCs w:val="21"/>
                <w:u w:val="none"/>
                <w:lang w:val="en-US" w:eastAsia="zh-CN" w:bidi="ar"/>
              </w:rPr>
              <w:t>b</w:t>
            </w:r>
          </w:p>
        </w:tc>
      </w:tr>
      <w:tr w14:paraId="4C66D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2" w:type="pct"/>
            <w:gridSpan w:val="2"/>
            <w:vMerge w:val="continue"/>
            <w:tcBorders>
              <w:top w:val="single" w:color="000000" w:sz="8" w:space="0"/>
              <w:left w:val="single" w:color="000000" w:sz="8" w:space="0"/>
              <w:bottom w:val="nil"/>
              <w:right w:val="single" w:color="000000" w:sz="8" w:space="0"/>
            </w:tcBorders>
            <w:noWrap/>
            <w:vAlign w:val="center"/>
          </w:tcPr>
          <w:p w14:paraId="17BD58D6">
            <w:pPr>
              <w:rPr>
                <w:rFonts w:hint="eastAsia" w:ascii="Arial Narrow" w:hAnsi="Arial Narrow" w:eastAsia="仿宋_GB2312" w:cs="宋体"/>
                <w:b/>
                <w:bCs/>
                <w:i w:val="0"/>
                <w:iCs w:val="0"/>
                <w:color w:val="000000"/>
                <w:sz w:val="21"/>
                <w:szCs w:val="21"/>
                <w:u w:val="none"/>
              </w:rPr>
            </w:pPr>
          </w:p>
        </w:tc>
        <w:tc>
          <w:tcPr>
            <w:tcW w:w="1014" w:type="pct"/>
            <w:tcBorders>
              <w:top w:val="nil"/>
              <w:left w:val="nil"/>
              <w:bottom w:val="single" w:color="000000" w:sz="8" w:space="0"/>
              <w:right w:val="single" w:color="000000" w:sz="8" w:space="0"/>
            </w:tcBorders>
            <w:noWrap w:val="0"/>
            <w:vAlign w:val="center"/>
          </w:tcPr>
          <w:p w14:paraId="6BD292CE">
            <w:pPr>
              <w:keepNext w:val="0"/>
              <w:keepLines w:val="0"/>
              <w:widowControl/>
              <w:suppressLineNumbers w:val="0"/>
              <w:jc w:val="center"/>
              <w:textAlignment w:val="center"/>
              <w:rPr>
                <w:rFonts w:hint="eastAsia" w:ascii="Arial Narrow" w:hAnsi="Arial Narrow" w:eastAsia="仿宋_GB2312" w:cs="宋体"/>
                <w:b/>
                <w:bCs/>
                <w:i w:val="0"/>
                <w:iCs w:val="0"/>
                <w:color w:val="000000"/>
                <w:sz w:val="21"/>
                <w:szCs w:val="21"/>
                <w:u w:val="none"/>
              </w:rPr>
            </w:pPr>
            <w:r>
              <w:rPr>
                <w:rFonts w:hint="eastAsia" w:ascii="Arial Narrow" w:hAnsi="Arial Narrow" w:eastAsia="仿宋_GB2312" w:cs="宋体"/>
                <w:b/>
                <w:bCs/>
                <w:i w:val="0"/>
                <w:iCs w:val="0"/>
                <w:color w:val="000000"/>
                <w:kern w:val="0"/>
                <w:sz w:val="21"/>
                <w:szCs w:val="21"/>
                <w:u w:val="none"/>
                <w:lang w:val="en-US" w:eastAsia="zh-CN" w:bidi="ar"/>
              </w:rPr>
              <w:t>2026年6月30日</w:t>
            </w:r>
          </w:p>
        </w:tc>
        <w:tc>
          <w:tcPr>
            <w:tcW w:w="1253" w:type="pct"/>
            <w:vMerge w:val="continue"/>
            <w:tcBorders>
              <w:top w:val="single" w:color="000000" w:sz="8" w:space="0"/>
              <w:left w:val="nil"/>
              <w:bottom w:val="nil"/>
              <w:right w:val="single" w:color="000000" w:sz="8" w:space="0"/>
            </w:tcBorders>
            <w:noWrap w:val="0"/>
            <w:vAlign w:val="center"/>
          </w:tcPr>
          <w:p w14:paraId="27353FB8">
            <w:pPr>
              <w:jc w:val="center"/>
              <w:rPr>
                <w:rFonts w:hint="default" w:ascii="Arial Narrow" w:hAnsi="Arial Narrow" w:eastAsia="仿宋_GB2312" w:cs="Times New Roman"/>
                <w:b/>
                <w:bCs/>
                <w:i w:val="0"/>
                <w:iCs w:val="0"/>
                <w:color w:val="000000"/>
                <w:sz w:val="21"/>
                <w:szCs w:val="21"/>
                <w:u w:val="none"/>
              </w:rPr>
            </w:pPr>
          </w:p>
        </w:tc>
      </w:tr>
      <w:tr w14:paraId="681F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2" w:type="pct"/>
            <w:gridSpan w:val="2"/>
            <w:vMerge w:val="continue"/>
            <w:tcBorders>
              <w:top w:val="single" w:color="000000" w:sz="8" w:space="0"/>
              <w:left w:val="single" w:color="000000" w:sz="8" w:space="0"/>
              <w:bottom w:val="nil"/>
              <w:right w:val="single" w:color="000000" w:sz="8" w:space="0"/>
            </w:tcBorders>
            <w:noWrap/>
            <w:vAlign w:val="center"/>
          </w:tcPr>
          <w:p w14:paraId="58DB9E16">
            <w:pPr>
              <w:rPr>
                <w:rFonts w:hint="eastAsia" w:ascii="Arial Narrow" w:hAnsi="Arial Narrow" w:eastAsia="仿宋_GB2312" w:cs="宋体"/>
                <w:b/>
                <w:bCs/>
                <w:i w:val="0"/>
                <w:iCs w:val="0"/>
                <w:color w:val="000000"/>
                <w:sz w:val="21"/>
                <w:szCs w:val="21"/>
                <w:u w:val="none"/>
              </w:rPr>
            </w:pPr>
          </w:p>
        </w:tc>
        <w:tc>
          <w:tcPr>
            <w:tcW w:w="1014" w:type="pct"/>
            <w:tcBorders>
              <w:top w:val="nil"/>
              <w:left w:val="nil"/>
              <w:bottom w:val="single" w:color="000000" w:sz="8" w:space="0"/>
              <w:right w:val="single" w:color="000000" w:sz="8" w:space="0"/>
            </w:tcBorders>
            <w:noWrap w:val="0"/>
            <w:vAlign w:val="center"/>
          </w:tcPr>
          <w:p w14:paraId="2F6A8C34">
            <w:pPr>
              <w:keepNext w:val="0"/>
              <w:keepLines w:val="0"/>
              <w:widowControl/>
              <w:suppressLineNumbers w:val="0"/>
              <w:jc w:val="center"/>
              <w:textAlignment w:val="center"/>
              <w:rPr>
                <w:rFonts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数额</w:t>
            </w:r>
          </w:p>
        </w:tc>
        <w:tc>
          <w:tcPr>
            <w:tcW w:w="1253" w:type="pct"/>
            <w:tcBorders>
              <w:top w:val="nil"/>
              <w:left w:val="nil"/>
              <w:bottom w:val="single" w:color="000000" w:sz="8" w:space="0"/>
              <w:right w:val="single" w:color="000000" w:sz="8" w:space="0"/>
            </w:tcBorders>
            <w:noWrap w:val="0"/>
            <w:vAlign w:val="center"/>
          </w:tcPr>
          <w:p w14:paraId="174EBC7E">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代码</w:t>
            </w:r>
          </w:p>
        </w:tc>
      </w:tr>
      <w:tr w14:paraId="5DD59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50B46EA0">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核心一级资本</w:t>
            </w:r>
          </w:p>
        </w:tc>
      </w:tr>
      <w:tr w14:paraId="1EAD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AA3148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w:t>
            </w:r>
          </w:p>
        </w:tc>
        <w:tc>
          <w:tcPr>
            <w:tcW w:w="2015" w:type="pct"/>
            <w:tcBorders>
              <w:top w:val="single" w:color="000000" w:sz="8" w:space="0"/>
              <w:left w:val="nil"/>
              <w:bottom w:val="single" w:color="000000" w:sz="8" w:space="0"/>
              <w:right w:val="single" w:color="000000" w:sz="8" w:space="0"/>
            </w:tcBorders>
            <w:noWrap w:val="0"/>
            <w:vAlign w:val="center"/>
          </w:tcPr>
          <w:p w14:paraId="4537F93C">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实收资本和资本公积可计入部分</w:t>
            </w:r>
          </w:p>
        </w:tc>
        <w:tc>
          <w:tcPr>
            <w:tcW w:w="1014" w:type="pct"/>
            <w:tcBorders>
              <w:top w:val="single" w:color="000000" w:sz="8" w:space="0"/>
              <w:left w:val="nil"/>
              <w:bottom w:val="single" w:color="000000" w:sz="8" w:space="0"/>
              <w:right w:val="single" w:color="000000" w:sz="8" w:space="0"/>
            </w:tcBorders>
            <w:noWrap w:val="0"/>
            <w:vAlign w:val="center"/>
          </w:tcPr>
          <w:p w14:paraId="6A2EBAD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462,387.22</w:t>
            </w:r>
          </w:p>
        </w:tc>
        <w:tc>
          <w:tcPr>
            <w:tcW w:w="1253" w:type="pct"/>
            <w:tcBorders>
              <w:top w:val="single" w:color="000000" w:sz="8" w:space="0"/>
              <w:left w:val="nil"/>
              <w:bottom w:val="single" w:color="000000" w:sz="8" w:space="0"/>
              <w:right w:val="single" w:color="000000" w:sz="8" w:space="0"/>
            </w:tcBorders>
            <w:noWrap w:val="0"/>
            <w:vAlign w:val="center"/>
          </w:tcPr>
          <w:p w14:paraId="78614251">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e+g</w:t>
            </w:r>
          </w:p>
        </w:tc>
      </w:tr>
      <w:tr w14:paraId="6313E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B5944F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w:t>
            </w:r>
          </w:p>
        </w:tc>
        <w:tc>
          <w:tcPr>
            <w:tcW w:w="2015" w:type="pct"/>
            <w:tcBorders>
              <w:top w:val="nil"/>
              <w:left w:val="nil"/>
              <w:bottom w:val="single" w:color="000000" w:sz="8" w:space="0"/>
              <w:right w:val="single" w:color="000000" w:sz="8" w:space="0"/>
            </w:tcBorders>
            <w:noWrap w:val="0"/>
            <w:vAlign w:val="center"/>
          </w:tcPr>
          <w:p w14:paraId="7214D2FE">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留存收益</w:t>
            </w:r>
          </w:p>
        </w:tc>
        <w:tc>
          <w:tcPr>
            <w:tcW w:w="1014" w:type="pct"/>
            <w:tcBorders>
              <w:top w:val="nil"/>
              <w:left w:val="nil"/>
              <w:bottom w:val="single" w:color="000000" w:sz="8" w:space="0"/>
              <w:right w:val="single" w:color="000000" w:sz="8" w:space="0"/>
            </w:tcBorders>
            <w:noWrap w:val="0"/>
            <w:vAlign w:val="center"/>
          </w:tcPr>
          <w:p w14:paraId="4DB79AD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1,561,081.66</w:t>
            </w:r>
          </w:p>
        </w:tc>
        <w:tc>
          <w:tcPr>
            <w:tcW w:w="1253" w:type="pct"/>
            <w:tcBorders>
              <w:top w:val="nil"/>
              <w:left w:val="nil"/>
              <w:bottom w:val="single" w:color="000000" w:sz="8" w:space="0"/>
              <w:right w:val="single" w:color="000000" w:sz="8" w:space="0"/>
            </w:tcBorders>
            <w:noWrap w:val="0"/>
            <w:vAlign w:val="center"/>
          </w:tcPr>
          <w:p w14:paraId="5207A7EF">
            <w:pPr>
              <w:jc w:val="center"/>
              <w:rPr>
                <w:rFonts w:hint="eastAsia" w:ascii="Arial Narrow" w:hAnsi="Arial Narrow" w:eastAsia="仿宋_GB2312" w:cs="宋体"/>
                <w:i w:val="0"/>
                <w:iCs w:val="0"/>
                <w:color w:val="000000"/>
                <w:sz w:val="21"/>
                <w:szCs w:val="21"/>
                <w:u w:val="none"/>
              </w:rPr>
            </w:pPr>
          </w:p>
        </w:tc>
      </w:tr>
      <w:tr w14:paraId="0BCF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C278B3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2a</w:t>
            </w:r>
          </w:p>
        </w:tc>
        <w:tc>
          <w:tcPr>
            <w:tcW w:w="2015" w:type="pct"/>
            <w:tcBorders>
              <w:top w:val="nil"/>
              <w:left w:val="nil"/>
              <w:bottom w:val="single" w:color="000000" w:sz="8" w:space="0"/>
              <w:right w:val="single" w:color="000000" w:sz="8" w:space="0"/>
            </w:tcBorders>
            <w:noWrap w:val="0"/>
            <w:vAlign w:val="center"/>
          </w:tcPr>
          <w:p w14:paraId="25BE2837">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盈余公积</w:t>
            </w:r>
          </w:p>
        </w:tc>
        <w:tc>
          <w:tcPr>
            <w:tcW w:w="1014" w:type="pct"/>
            <w:tcBorders>
              <w:top w:val="nil"/>
              <w:left w:val="nil"/>
              <w:bottom w:val="single" w:color="000000" w:sz="8" w:space="0"/>
              <w:right w:val="single" w:color="000000" w:sz="8" w:space="0"/>
            </w:tcBorders>
            <w:noWrap w:val="0"/>
            <w:vAlign w:val="center"/>
          </w:tcPr>
          <w:p w14:paraId="0D9C29B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761,052.81</w:t>
            </w:r>
          </w:p>
        </w:tc>
        <w:tc>
          <w:tcPr>
            <w:tcW w:w="1253" w:type="pct"/>
            <w:tcBorders>
              <w:top w:val="nil"/>
              <w:left w:val="nil"/>
              <w:bottom w:val="single" w:color="000000" w:sz="8" w:space="0"/>
              <w:right w:val="single" w:color="000000" w:sz="8" w:space="0"/>
            </w:tcBorders>
            <w:noWrap w:val="0"/>
            <w:vAlign w:val="center"/>
          </w:tcPr>
          <w:p w14:paraId="519B437A">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h</w:t>
            </w:r>
          </w:p>
        </w:tc>
      </w:tr>
      <w:tr w14:paraId="286B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F0887F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2b</w:t>
            </w:r>
          </w:p>
        </w:tc>
        <w:tc>
          <w:tcPr>
            <w:tcW w:w="2015" w:type="pct"/>
            <w:tcBorders>
              <w:top w:val="nil"/>
              <w:left w:val="nil"/>
              <w:bottom w:val="single" w:color="000000" w:sz="8" w:space="0"/>
              <w:right w:val="single" w:color="000000" w:sz="8" w:space="0"/>
            </w:tcBorders>
            <w:noWrap w:val="0"/>
            <w:vAlign w:val="center"/>
          </w:tcPr>
          <w:p w14:paraId="65DE181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一般风险准备</w:t>
            </w:r>
          </w:p>
        </w:tc>
        <w:tc>
          <w:tcPr>
            <w:tcW w:w="1014" w:type="pct"/>
            <w:tcBorders>
              <w:top w:val="nil"/>
              <w:left w:val="nil"/>
              <w:bottom w:val="single" w:color="000000" w:sz="8" w:space="0"/>
              <w:right w:val="single" w:color="000000" w:sz="8" w:space="0"/>
            </w:tcBorders>
            <w:noWrap w:val="0"/>
            <w:vAlign w:val="center"/>
          </w:tcPr>
          <w:p w14:paraId="0BA569C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387,247.27</w:t>
            </w:r>
          </w:p>
        </w:tc>
        <w:tc>
          <w:tcPr>
            <w:tcW w:w="1253" w:type="pct"/>
            <w:tcBorders>
              <w:top w:val="nil"/>
              <w:left w:val="nil"/>
              <w:bottom w:val="single" w:color="000000" w:sz="8" w:space="0"/>
              <w:right w:val="single" w:color="000000" w:sz="8" w:space="0"/>
            </w:tcBorders>
            <w:noWrap w:val="0"/>
            <w:vAlign w:val="center"/>
          </w:tcPr>
          <w:p w14:paraId="2F7BC7DD">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i</w:t>
            </w:r>
          </w:p>
        </w:tc>
      </w:tr>
      <w:tr w14:paraId="54DD1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65D7AA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2c</w:t>
            </w:r>
          </w:p>
        </w:tc>
        <w:tc>
          <w:tcPr>
            <w:tcW w:w="2015" w:type="pct"/>
            <w:tcBorders>
              <w:top w:val="nil"/>
              <w:left w:val="nil"/>
              <w:bottom w:val="single" w:color="000000" w:sz="8" w:space="0"/>
              <w:right w:val="single" w:color="000000" w:sz="8" w:space="0"/>
            </w:tcBorders>
            <w:noWrap w:val="0"/>
            <w:vAlign w:val="center"/>
          </w:tcPr>
          <w:p w14:paraId="51B11536">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未分配利润</w:t>
            </w:r>
          </w:p>
        </w:tc>
        <w:tc>
          <w:tcPr>
            <w:tcW w:w="1014" w:type="pct"/>
            <w:tcBorders>
              <w:top w:val="nil"/>
              <w:left w:val="nil"/>
              <w:bottom w:val="single" w:color="000000" w:sz="8" w:space="0"/>
              <w:right w:val="single" w:color="000000" w:sz="8" w:space="0"/>
            </w:tcBorders>
            <w:noWrap w:val="0"/>
            <w:vAlign w:val="center"/>
          </w:tcPr>
          <w:p w14:paraId="62FE960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412,781.58</w:t>
            </w:r>
          </w:p>
        </w:tc>
        <w:tc>
          <w:tcPr>
            <w:tcW w:w="1253" w:type="pct"/>
            <w:tcBorders>
              <w:top w:val="nil"/>
              <w:left w:val="nil"/>
              <w:bottom w:val="single" w:color="000000" w:sz="8" w:space="0"/>
              <w:right w:val="single" w:color="000000" w:sz="8" w:space="0"/>
            </w:tcBorders>
            <w:noWrap w:val="0"/>
            <w:vAlign w:val="center"/>
          </w:tcPr>
          <w:p w14:paraId="43248E1E">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j</w:t>
            </w:r>
          </w:p>
        </w:tc>
      </w:tr>
      <w:tr w14:paraId="43D7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8DA7FE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w:t>
            </w:r>
          </w:p>
        </w:tc>
        <w:tc>
          <w:tcPr>
            <w:tcW w:w="2015" w:type="pct"/>
            <w:tcBorders>
              <w:top w:val="nil"/>
              <w:left w:val="nil"/>
              <w:bottom w:val="single" w:color="000000" w:sz="8" w:space="0"/>
              <w:right w:val="single" w:color="000000" w:sz="8" w:space="0"/>
            </w:tcBorders>
            <w:noWrap w:val="0"/>
            <w:vAlign w:val="center"/>
          </w:tcPr>
          <w:p w14:paraId="5B423732">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累计其他综合收益</w:t>
            </w:r>
          </w:p>
        </w:tc>
        <w:tc>
          <w:tcPr>
            <w:tcW w:w="1014" w:type="pct"/>
            <w:tcBorders>
              <w:top w:val="nil"/>
              <w:left w:val="nil"/>
              <w:bottom w:val="single" w:color="000000" w:sz="8" w:space="0"/>
              <w:right w:val="single" w:color="000000" w:sz="8" w:space="0"/>
            </w:tcBorders>
            <w:noWrap w:val="0"/>
            <w:vAlign w:val="center"/>
          </w:tcPr>
          <w:p w14:paraId="090BF8C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6,314.83</w:t>
            </w:r>
          </w:p>
        </w:tc>
        <w:tc>
          <w:tcPr>
            <w:tcW w:w="1253" w:type="pct"/>
            <w:tcBorders>
              <w:top w:val="nil"/>
              <w:left w:val="nil"/>
              <w:bottom w:val="single" w:color="000000" w:sz="8" w:space="0"/>
              <w:right w:val="single" w:color="000000" w:sz="8" w:space="0"/>
            </w:tcBorders>
            <w:noWrap w:val="0"/>
            <w:vAlign w:val="center"/>
          </w:tcPr>
          <w:p w14:paraId="4FBB2DE2">
            <w:pPr>
              <w:jc w:val="center"/>
              <w:rPr>
                <w:rFonts w:hint="eastAsia" w:ascii="Arial Narrow" w:hAnsi="Arial Narrow" w:eastAsia="仿宋_GB2312" w:cs="宋体"/>
                <w:i w:val="0"/>
                <w:iCs w:val="0"/>
                <w:color w:val="000000"/>
                <w:sz w:val="21"/>
                <w:szCs w:val="21"/>
                <w:u w:val="none"/>
              </w:rPr>
            </w:pPr>
          </w:p>
        </w:tc>
      </w:tr>
      <w:tr w14:paraId="7E1A2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A8218F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w:t>
            </w:r>
          </w:p>
        </w:tc>
        <w:tc>
          <w:tcPr>
            <w:tcW w:w="2015" w:type="pct"/>
            <w:tcBorders>
              <w:top w:val="nil"/>
              <w:left w:val="nil"/>
              <w:bottom w:val="single" w:color="000000" w:sz="8" w:space="0"/>
              <w:right w:val="single" w:color="000000" w:sz="8" w:space="0"/>
            </w:tcBorders>
            <w:noWrap w:val="0"/>
            <w:vAlign w:val="center"/>
          </w:tcPr>
          <w:p w14:paraId="39F9DA4C">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少数股东资本可计入部分</w:t>
            </w:r>
          </w:p>
        </w:tc>
        <w:tc>
          <w:tcPr>
            <w:tcW w:w="1014" w:type="pct"/>
            <w:tcBorders>
              <w:top w:val="nil"/>
              <w:left w:val="nil"/>
              <w:bottom w:val="single" w:color="000000" w:sz="8" w:space="0"/>
              <w:right w:val="single" w:color="000000" w:sz="8" w:space="0"/>
            </w:tcBorders>
            <w:noWrap w:val="0"/>
            <w:vAlign w:val="center"/>
          </w:tcPr>
          <w:p w14:paraId="7A0DAE2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2,443.09</w:t>
            </w:r>
          </w:p>
        </w:tc>
        <w:tc>
          <w:tcPr>
            <w:tcW w:w="1253" w:type="pct"/>
            <w:tcBorders>
              <w:top w:val="nil"/>
              <w:left w:val="nil"/>
              <w:bottom w:val="single" w:color="000000" w:sz="8" w:space="0"/>
              <w:right w:val="single" w:color="000000" w:sz="8" w:space="0"/>
            </w:tcBorders>
            <w:noWrap w:val="0"/>
            <w:vAlign w:val="center"/>
          </w:tcPr>
          <w:p w14:paraId="31F9429C">
            <w:pPr>
              <w:jc w:val="center"/>
              <w:rPr>
                <w:rFonts w:hint="eastAsia" w:ascii="Arial Narrow" w:hAnsi="Arial Narrow" w:eastAsia="仿宋_GB2312" w:cs="宋体"/>
                <w:i w:val="0"/>
                <w:iCs w:val="0"/>
                <w:color w:val="000000"/>
                <w:sz w:val="21"/>
                <w:szCs w:val="21"/>
                <w:u w:val="none"/>
              </w:rPr>
            </w:pPr>
          </w:p>
        </w:tc>
      </w:tr>
      <w:tr w14:paraId="4BA8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C688C7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w:t>
            </w:r>
          </w:p>
        </w:tc>
        <w:tc>
          <w:tcPr>
            <w:tcW w:w="2015" w:type="pct"/>
            <w:tcBorders>
              <w:top w:val="nil"/>
              <w:left w:val="nil"/>
              <w:bottom w:val="single" w:color="000000" w:sz="8" w:space="0"/>
              <w:right w:val="single" w:color="000000" w:sz="8" w:space="0"/>
            </w:tcBorders>
            <w:noWrap w:val="0"/>
            <w:vAlign w:val="center"/>
          </w:tcPr>
          <w:p w14:paraId="35C76EC1">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扣除前的核心一级资本</w:t>
            </w:r>
          </w:p>
        </w:tc>
        <w:tc>
          <w:tcPr>
            <w:tcW w:w="1014" w:type="pct"/>
            <w:tcBorders>
              <w:top w:val="nil"/>
              <w:left w:val="nil"/>
              <w:bottom w:val="single" w:color="000000" w:sz="8" w:space="0"/>
              <w:right w:val="single" w:color="000000" w:sz="8" w:space="0"/>
            </w:tcBorders>
            <w:noWrap w:val="0"/>
            <w:vAlign w:val="center"/>
          </w:tcPr>
          <w:p w14:paraId="42510E7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2,032,226.80</w:t>
            </w:r>
          </w:p>
        </w:tc>
        <w:tc>
          <w:tcPr>
            <w:tcW w:w="1253" w:type="pct"/>
            <w:tcBorders>
              <w:top w:val="nil"/>
              <w:left w:val="nil"/>
              <w:bottom w:val="single" w:color="000000" w:sz="8" w:space="0"/>
              <w:right w:val="single" w:color="000000" w:sz="8" w:space="0"/>
            </w:tcBorders>
            <w:noWrap w:val="0"/>
            <w:vAlign w:val="center"/>
          </w:tcPr>
          <w:p w14:paraId="1C9FD077">
            <w:pPr>
              <w:jc w:val="center"/>
              <w:rPr>
                <w:rFonts w:hint="eastAsia" w:ascii="Arial Narrow" w:hAnsi="Arial Narrow" w:eastAsia="仿宋_GB2312" w:cs="宋体"/>
                <w:i w:val="0"/>
                <w:iCs w:val="0"/>
                <w:color w:val="000000"/>
                <w:sz w:val="21"/>
                <w:szCs w:val="21"/>
                <w:u w:val="none"/>
              </w:rPr>
            </w:pPr>
          </w:p>
        </w:tc>
      </w:tr>
      <w:tr w14:paraId="32927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66812EA1">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核心一级资本：扣除项</w:t>
            </w:r>
            <w:r>
              <w:rPr>
                <w:rFonts w:hint="eastAsia" w:ascii="Arial Narrow" w:hAnsi="Arial Narrow" w:eastAsia="仿宋_GB2312" w:cs="宋体"/>
                <w:i w:val="0"/>
                <w:iCs w:val="0"/>
                <w:color w:val="000000"/>
                <w:kern w:val="0"/>
                <w:sz w:val="21"/>
                <w:szCs w:val="21"/>
                <w:u w:val="none"/>
                <w:lang w:val="en-US" w:eastAsia="zh-CN" w:bidi="ar"/>
              </w:rPr>
              <w:t>　</w:t>
            </w:r>
          </w:p>
        </w:tc>
      </w:tr>
      <w:tr w14:paraId="72FDB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2352E5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w:t>
            </w:r>
          </w:p>
        </w:tc>
        <w:tc>
          <w:tcPr>
            <w:tcW w:w="2015" w:type="pct"/>
            <w:tcBorders>
              <w:top w:val="single" w:color="000000" w:sz="8" w:space="0"/>
              <w:left w:val="nil"/>
              <w:bottom w:val="single" w:color="000000" w:sz="8" w:space="0"/>
              <w:right w:val="single" w:color="000000" w:sz="8" w:space="0"/>
            </w:tcBorders>
            <w:noWrap w:val="0"/>
            <w:vAlign w:val="center"/>
          </w:tcPr>
          <w:p w14:paraId="282573BD">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审慎估值调整</w:t>
            </w:r>
          </w:p>
        </w:tc>
        <w:tc>
          <w:tcPr>
            <w:tcW w:w="1014" w:type="pct"/>
            <w:tcBorders>
              <w:top w:val="single" w:color="000000" w:sz="8" w:space="0"/>
              <w:left w:val="nil"/>
              <w:bottom w:val="single" w:color="000000" w:sz="8" w:space="0"/>
              <w:right w:val="single" w:color="000000" w:sz="8" w:space="0"/>
            </w:tcBorders>
            <w:noWrap w:val="0"/>
            <w:vAlign w:val="center"/>
          </w:tcPr>
          <w:p w14:paraId="5268D6E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single" w:color="000000" w:sz="8" w:space="0"/>
              <w:left w:val="nil"/>
              <w:bottom w:val="single" w:color="000000" w:sz="8" w:space="0"/>
              <w:right w:val="single" w:color="000000" w:sz="8" w:space="0"/>
            </w:tcBorders>
            <w:noWrap w:val="0"/>
            <w:vAlign w:val="center"/>
          </w:tcPr>
          <w:p w14:paraId="0B113F65">
            <w:pPr>
              <w:jc w:val="center"/>
              <w:rPr>
                <w:rFonts w:hint="eastAsia" w:ascii="Arial Narrow" w:hAnsi="Arial Narrow" w:eastAsia="仿宋_GB2312" w:cs="宋体"/>
                <w:i w:val="0"/>
                <w:iCs w:val="0"/>
                <w:color w:val="000000"/>
                <w:sz w:val="21"/>
                <w:szCs w:val="21"/>
                <w:u w:val="none"/>
              </w:rPr>
            </w:pPr>
          </w:p>
        </w:tc>
      </w:tr>
      <w:tr w14:paraId="37984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FE1D81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7</w:t>
            </w:r>
          </w:p>
        </w:tc>
        <w:tc>
          <w:tcPr>
            <w:tcW w:w="2015" w:type="pct"/>
            <w:tcBorders>
              <w:top w:val="nil"/>
              <w:left w:val="nil"/>
              <w:bottom w:val="single" w:color="000000" w:sz="8" w:space="0"/>
              <w:right w:val="single" w:color="000000" w:sz="8" w:space="0"/>
            </w:tcBorders>
            <w:noWrap w:val="0"/>
            <w:vAlign w:val="center"/>
          </w:tcPr>
          <w:p w14:paraId="6797E0C3">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商誉（扣除递延税负债）</w:t>
            </w:r>
          </w:p>
        </w:tc>
        <w:tc>
          <w:tcPr>
            <w:tcW w:w="1014" w:type="pct"/>
            <w:tcBorders>
              <w:top w:val="nil"/>
              <w:left w:val="nil"/>
              <w:bottom w:val="single" w:color="000000" w:sz="8" w:space="0"/>
              <w:right w:val="single" w:color="000000" w:sz="8" w:space="0"/>
            </w:tcBorders>
            <w:noWrap w:val="0"/>
            <w:vAlign w:val="center"/>
          </w:tcPr>
          <w:p w14:paraId="02D3641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0B55B9B7">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a-c</w:t>
            </w:r>
          </w:p>
        </w:tc>
      </w:tr>
      <w:tr w14:paraId="6956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084144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8</w:t>
            </w:r>
          </w:p>
        </w:tc>
        <w:tc>
          <w:tcPr>
            <w:tcW w:w="2015" w:type="pct"/>
            <w:tcBorders>
              <w:top w:val="nil"/>
              <w:left w:val="nil"/>
              <w:bottom w:val="single" w:color="000000" w:sz="8" w:space="0"/>
              <w:right w:val="single" w:color="000000" w:sz="8" w:space="0"/>
            </w:tcBorders>
            <w:noWrap w:val="0"/>
            <w:vAlign w:val="center"/>
          </w:tcPr>
          <w:p w14:paraId="36CCC541">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其他无形资产（土地使用权除外）（扣除递延税负债）</w:t>
            </w:r>
          </w:p>
        </w:tc>
        <w:tc>
          <w:tcPr>
            <w:tcW w:w="1014" w:type="pct"/>
            <w:tcBorders>
              <w:top w:val="nil"/>
              <w:left w:val="nil"/>
              <w:bottom w:val="single" w:color="000000" w:sz="8" w:space="0"/>
              <w:right w:val="single" w:color="000000" w:sz="8" w:space="0"/>
            </w:tcBorders>
            <w:noWrap w:val="0"/>
            <w:vAlign w:val="center"/>
          </w:tcPr>
          <w:p w14:paraId="03C0EB8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16,320.58 </w:t>
            </w:r>
          </w:p>
        </w:tc>
        <w:tc>
          <w:tcPr>
            <w:tcW w:w="1253" w:type="pct"/>
            <w:tcBorders>
              <w:top w:val="nil"/>
              <w:left w:val="nil"/>
              <w:bottom w:val="single" w:color="000000" w:sz="8" w:space="0"/>
              <w:right w:val="single" w:color="000000" w:sz="8" w:space="0"/>
            </w:tcBorders>
            <w:noWrap w:val="0"/>
            <w:vAlign w:val="center"/>
          </w:tcPr>
          <w:p w14:paraId="450DF564">
            <w:pPr>
              <w:keepNext w:val="0"/>
              <w:keepLines w:val="0"/>
              <w:widowControl/>
              <w:suppressLineNumbers w:val="0"/>
              <w:jc w:val="center"/>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b-d</w:t>
            </w:r>
          </w:p>
        </w:tc>
      </w:tr>
      <w:tr w14:paraId="3F28D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B735D7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9</w:t>
            </w:r>
          </w:p>
        </w:tc>
        <w:tc>
          <w:tcPr>
            <w:tcW w:w="2015" w:type="pct"/>
            <w:tcBorders>
              <w:top w:val="nil"/>
              <w:left w:val="nil"/>
              <w:bottom w:val="single" w:color="000000" w:sz="8" w:space="0"/>
              <w:right w:val="single" w:color="000000" w:sz="8" w:space="0"/>
            </w:tcBorders>
            <w:noWrap w:val="0"/>
            <w:vAlign w:val="center"/>
          </w:tcPr>
          <w:p w14:paraId="60EA1252">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依赖未来盈利的由经营亏损引起的净递延税资产</w:t>
            </w:r>
          </w:p>
        </w:tc>
        <w:tc>
          <w:tcPr>
            <w:tcW w:w="1014" w:type="pct"/>
            <w:tcBorders>
              <w:top w:val="nil"/>
              <w:left w:val="nil"/>
              <w:bottom w:val="single" w:color="000000" w:sz="8" w:space="0"/>
              <w:right w:val="single" w:color="000000" w:sz="8" w:space="0"/>
            </w:tcBorders>
            <w:noWrap w:val="0"/>
            <w:vAlign w:val="center"/>
          </w:tcPr>
          <w:p w14:paraId="1D46991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1A150C1B">
            <w:pPr>
              <w:jc w:val="both"/>
              <w:rPr>
                <w:rFonts w:hint="eastAsia" w:ascii="Arial Narrow" w:hAnsi="Arial Narrow" w:eastAsia="仿宋_GB2312" w:cs="宋体"/>
                <w:i w:val="0"/>
                <w:iCs w:val="0"/>
                <w:color w:val="000000"/>
                <w:sz w:val="21"/>
                <w:szCs w:val="21"/>
                <w:u w:val="none"/>
              </w:rPr>
            </w:pPr>
          </w:p>
        </w:tc>
      </w:tr>
      <w:tr w14:paraId="5553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ADCC31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10</w:t>
            </w:r>
          </w:p>
        </w:tc>
        <w:tc>
          <w:tcPr>
            <w:tcW w:w="2015" w:type="pct"/>
            <w:tcBorders>
              <w:top w:val="nil"/>
              <w:left w:val="nil"/>
              <w:bottom w:val="single" w:color="000000" w:sz="8" w:space="0"/>
              <w:right w:val="single" w:color="000000" w:sz="8" w:space="0"/>
            </w:tcBorders>
            <w:noWrap w:val="0"/>
            <w:vAlign w:val="center"/>
          </w:tcPr>
          <w:p w14:paraId="60FAA9AE">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对未按公允价值计量的项目进行套期形成的现金流储备</w:t>
            </w:r>
          </w:p>
        </w:tc>
        <w:tc>
          <w:tcPr>
            <w:tcW w:w="1014" w:type="pct"/>
            <w:tcBorders>
              <w:top w:val="nil"/>
              <w:left w:val="nil"/>
              <w:bottom w:val="single" w:color="000000" w:sz="8" w:space="0"/>
              <w:right w:val="single" w:color="000000" w:sz="8" w:space="0"/>
            </w:tcBorders>
            <w:noWrap w:val="0"/>
            <w:vAlign w:val="center"/>
          </w:tcPr>
          <w:p w14:paraId="248DA79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385C1DCD">
            <w:pPr>
              <w:jc w:val="both"/>
              <w:rPr>
                <w:rFonts w:hint="eastAsia" w:ascii="Arial Narrow" w:hAnsi="Arial Narrow" w:eastAsia="仿宋_GB2312" w:cs="宋体"/>
                <w:i w:val="0"/>
                <w:iCs w:val="0"/>
                <w:color w:val="000000"/>
                <w:sz w:val="21"/>
                <w:szCs w:val="21"/>
                <w:u w:val="none"/>
              </w:rPr>
            </w:pPr>
          </w:p>
        </w:tc>
      </w:tr>
      <w:tr w14:paraId="4035C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220599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11</w:t>
            </w:r>
          </w:p>
        </w:tc>
        <w:tc>
          <w:tcPr>
            <w:tcW w:w="2015" w:type="pct"/>
            <w:tcBorders>
              <w:top w:val="nil"/>
              <w:left w:val="nil"/>
              <w:bottom w:val="single" w:color="000000" w:sz="8" w:space="0"/>
              <w:right w:val="single" w:color="000000" w:sz="8" w:space="0"/>
            </w:tcBorders>
            <w:noWrap w:val="0"/>
            <w:vAlign w:val="center"/>
          </w:tcPr>
          <w:p w14:paraId="14B3AADA">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损失准备缺口</w:t>
            </w:r>
          </w:p>
        </w:tc>
        <w:tc>
          <w:tcPr>
            <w:tcW w:w="1014" w:type="pct"/>
            <w:tcBorders>
              <w:top w:val="nil"/>
              <w:left w:val="nil"/>
              <w:bottom w:val="single" w:color="000000" w:sz="8" w:space="0"/>
              <w:right w:val="single" w:color="000000" w:sz="8" w:space="0"/>
            </w:tcBorders>
            <w:noWrap w:val="0"/>
            <w:vAlign w:val="center"/>
          </w:tcPr>
          <w:p w14:paraId="5EC200B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2799BF4A">
            <w:pPr>
              <w:jc w:val="both"/>
              <w:rPr>
                <w:rFonts w:hint="eastAsia" w:ascii="Arial Narrow" w:hAnsi="Arial Narrow" w:eastAsia="仿宋_GB2312" w:cs="宋体"/>
                <w:i w:val="0"/>
                <w:iCs w:val="0"/>
                <w:color w:val="000000"/>
                <w:sz w:val="21"/>
                <w:szCs w:val="21"/>
                <w:u w:val="none"/>
              </w:rPr>
            </w:pPr>
          </w:p>
        </w:tc>
      </w:tr>
      <w:tr w14:paraId="6B13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F63C1E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12</w:t>
            </w:r>
          </w:p>
        </w:tc>
        <w:tc>
          <w:tcPr>
            <w:tcW w:w="2015" w:type="pct"/>
            <w:tcBorders>
              <w:top w:val="nil"/>
              <w:left w:val="nil"/>
              <w:bottom w:val="single" w:color="000000" w:sz="8" w:space="0"/>
              <w:right w:val="single" w:color="000000" w:sz="8" w:space="0"/>
            </w:tcBorders>
            <w:noWrap w:val="0"/>
            <w:vAlign w:val="center"/>
          </w:tcPr>
          <w:p w14:paraId="18ABDDD2">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资产证券化销售利得</w:t>
            </w:r>
          </w:p>
        </w:tc>
        <w:tc>
          <w:tcPr>
            <w:tcW w:w="1014" w:type="pct"/>
            <w:tcBorders>
              <w:top w:val="nil"/>
              <w:left w:val="nil"/>
              <w:bottom w:val="single" w:color="000000" w:sz="8" w:space="0"/>
              <w:right w:val="single" w:color="000000" w:sz="8" w:space="0"/>
            </w:tcBorders>
            <w:noWrap w:val="0"/>
            <w:vAlign w:val="center"/>
          </w:tcPr>
          <w:p w14:paraId="6BA6B3D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6894D9F3">
            <w:pPr>
              <w:jc w:val="both"/>
              <w:rPr>
                <w:rFonts w:hint="eastAsia" w:ascii="Arial Narrow" w:hAnsi="Arial Narrow" w:eastAsia="仿宋_GB2312" w:cs="宋体"/>
                <w:i w:val="0"/>
                <w:iCs w:val="0"/>
                <w:color w:val="000000"/>
                <w:sz w:val="21"/>
                <w:szCs w:val="21"/>
                <w:u w:val="none"/>
              </w:rPr>
            </w:pPr>
          </w:p>
        </w:tc>
      </w:tr>
      <w:tr w14:paraId="5D40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16F87B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13</w:t>
            </w:r>
          </w:p>
        </w:tc>
        <w:tc>
          <w:tcPr>
            <w:tcW w:w="2015" w:type="pct"/>
            <w:tcBorders>
              <w:top w:val="nil"/>
              <w:left w:val="nil"/>
              <w:bottom w:val="single" w:color="000000" w:sz="8" w:space="0"/>
              <w:right w:val="single" w:color="000000" w:sz="8" w:space="0"/>
            </w:tcBorders>
            <w:noWrap w:val="0"/>
            <w:vAlign w:val="center"/>
          </w:tcPr>
          <w:p w14:paraId="25F2F61D">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自身信用风险变化导致其负债公允价值变化带来的未实现损益</w:t>
            </w:r>
          </w:p>
        </w:tc>
        <w:tc>
          <w:tcPr>
            <w:tcW w:w="1014" w:type="pct"/>
            <w:tcBorders>
              <w:top w:val="nil"/>
              <w:left w:val="nil"/>
              <w:bottom w:val="single" w:color="000000" w:sz="8" w:space="0"/>
              <w:right w:val="single" w:color="000000" w:sz="8" w:space="0"/>
            </w:tcBorders>
            <w:noWrap w:val="0"/>
            <w:vAlign w:val="center"/>
          </w:tcPr>
          <w:p w14:paraId="2FA8729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EDF9DD9">
            <w:pPr>
              <w:jc w:val="both"/>
              <w:rPr>
                <w:rFonts w:hint="eastAsia" w:ascii="Arial Narrow" w:hAnsi="Arial Narrow" w:eastAsia="仿宋_GB2312" w:cs="宋体"/>
                <w:i w:val="0"/>
                <w:iCs w:val="0"/>
                <w:color w:val="000000"/>
                <w:sz w:val="21"/>
                <w:szCs w:val="21"/>
                <w:u w:val="none"/>
              </w:rPr>
            </w:pPr>
          </w:p>
        </w:tc>
      </w:tr>
      <w:tr w14:paraId="08746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8FACFD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14</w:t>
            </w:r>
          </w:p>
        </w:tc>
        <w:tc>
          <w:tcPr>
            <w:tcW w:w="2015" w:type="pct"/>
            <w:tcBorders>
              <w:top w:val="nil"/>
              <w:left w:val="nil"/>
              <w:bottom w:val="single" w:color="000000" w:sz="8" w:space="0"/>
              <w:right w:val="single" w:color="000000" w:sz="8" w:space="0"/>
            </w:tcBorders>
            <w:noWrap w:val="0"/>
            <w:vAlign w:val="center"/>
          </w:tcPr>
          <w:p w14:paraId="0CFBD704">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确定受益类的养老金资产净额（扣除递延税项负债）</w:t>
            </w:r>
          </w:p>
        </w:tc>
        <w:tc>
          <w:tcPr>
            <w:tcW w:w="1014" w:type="pct"/>
            <w:tcBorders>
              <w:top w:val="nil"/>
              <w:left w:val="nil"/>
              <w:bottom w:val="single" w:color="000000" w:sz="8" w:space="0"/>
              <w:right w:val="single" w:color="000000" w:sz="8" w:space="0"/>
            </w:tcBorders>
            <w:noWrap w:val="0"/>
            <w:vAlign w:val="center"/>
          </w:tcPr>
          <w:p w14:paraId="00869F3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BEB8ECD">
            <w:pPr>
              <w:jc w:val="both"/>
              <w:rPr>
                <w:rFonts w:hint="eastAsia" w:ascii="Arial Narrow" w:hAnsi="Arial Narrow" w:eastAsia="仿宋_GB2312" w:cs="宋体"/>
                <w:i w:val="0"/>
                <w:iCs w:val="0"/>
                <w:color w:val="000000"/>
                <w:sz w:val="21"/>
                <w:szCs w:val="21"/>
                <w:u w:val="none"/>
              </w:rPr>
            </w:pPr>
          </w:p>
        </w:tc>
      </w:tr>
      <w:tr w14:paraId="77FF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6E7D42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15</w:t>
            </w:r>
          </w:p>
        </w:tc>
        <w:tc>
          <w:tcPr>
            <w:tcW w:w="2015" w:type="pct"/>
            <w:tcBorders>
              <w:top w:val="nil"/>
              <w:left w:val="nil"/>
              <w:bottom w:val="single" w:color="000000" w:sz="8" w:space="0"/>
              <w:right w:val="single" w:color="000000" w:sz="8" w:space="0"/>
            </w:tcBorders>
            <w:noWrap w:val="0"/>
            <w:vAlign w:val="center"/>
          </w:tcPr>
          <w:p w14:paraId="00E708E6">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直接或间接持有本银行的股票</w:t>
            </w:r>
          </w:p>
        </w:tc>
        <w:tc>
          <w:tcPr>
            <w:tcW w:w="1014" w:type="pct"/>
            <w:tcBorders>
              <w:top w:val="nil"/>
              <w:left w:val="nil"/>
              <w:bottom w:val="single" w:color="000000" w:sz="8" w:space="0"/>
              <w:right w:val="single" w:color="000000" w:sz="8" w:space="0"/>
            </w:tcBorders>
            <w:noWrap w:val="0"/>
            <w:vAlign w:val="center"/>
          </w:tcPr>
          <w:p w14:paraId="66D5D93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DE5C89A">
            <w:pPr>
              <w:jc w:val="both"/>
              <w:rPr>
                <w:rFonts w:hint="eastAsia" w:ascii="Arial Narrow" w:hAnsi="Arial Narrow" w:eastAsia="仿宋_GB2312" w:cs="宋体"/>
                <w:i w:val="0"/>
                <w:iCs w:val="0"/>
                <w:color w:val="000000"/>
                <w:sz w:val="21"/>
                <w:szCs w:val="21"/>
                <w:u w:val="none"/>
              </w:rPr>
            </w:pPr>
          </w:p>
        </w:tc>
      </w:tr>
      <w:tr w14:paraId="238DD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97D715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16</w:t>
            </w:r>
          </w:p>
        </w:tc>
        <w:tc>
          <w:tcPr>
            <w:tcW w:w="2015" w:type="pct"/>
            <w:tcBorders>
              <w:top w:val="nil"/>
              <w:left w:val="nil"/>
              <w:bottom w:val="single" w:color="000000" w:sz="8" w:space="0"/>
              <w:right w:val="single" w:color="000000" w:sz="8" w:space="0"/>
            </w:tcBorders>
            <w:noWrap w:val="0"/>
            <w:vAlign w:val="center"/>
          </w:tcPr>
          <w:p w14:paraId="62505C4C">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银行间或银行与其他金融机构间通过协议相互持有的核心一级资本</w:t>
            </w:r>
          </w:p>
        </w:tc>
        <w:tc>
          <w:tcPr>
            <w:tcW w:w="1014" w:type="pct"/>
            <w:tcBorders>
              <w:top w:val="nil"/>
              <w:left w:val="nil"/>
              <w:bottom w:val="single" w:color="000000" w:sz="8" w:space="0"/>
              <w:right w:val="single" w:color="000000" w:sz="8" w:space="0"/>
            </w:tcBorders>
            <w:noWrap w:val="0"/>
            <w:vAlign w:val="center"/>
          </w:tcPr>
          <w:p w14:paraId="2E89594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1A5C89C0">
            <w:pPr>
              <w:jc w:val="both"/>
              <w:rPr>
                <w:rFonts w:hint="eastAsia" w:ascii="Arial Narrow" w:hAnsi="Arial Narrow" w:eastAsia="仿宋_GB2312" w:cs="宋体"/>
                <w:i w:val="0"/>
                <w:iCs w:val="0"/>
                <w:color w:val="000000"/>
                <w:sz w:val="21"/>
                <w:szCs w:val="21"/>
                <w:u w:val="none"/>
              </w:rPr>
            </w:pPr>
          </w:p>
        </w:tc>
      </w:tr>
      <w:tr w14:paraId="74CA1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67E92F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17</w:t>
            </w:r>
          </w:p>
        </w:tc>
        <w:tc>
          <w:tcPr>
            <w:tcW w:w="2015" w:type="pct"/>
            <w:tcBorders>
              <w:top w:val="nil"/>
              <w:left w:val="nil"/>
              <w:bottom w:val="single" w:color="000000" w:sz="8" w:space="0"/>
              <w:right w:val="single" w:color="000000" w:sz="8" w:space="0"/>
            </w:tcBorders>
            <w:noWrap w:val="0"/>
            <w:vAlign w:val="center"/>
          </w:tcPr>
          <w:p w14:paraId="793F905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对未并表金融机构小额少数资本投资中的核心一级资本中应扣除金额</w:t>
            </w:r>
          </w:p>
        </w:tc>
        <w:tc>
          <w:tcPr>
            <w:tcW w:w="1014" w:type="pct"/>
            <w:tcBorders>
              <w:top w:val="nil"/>
              <w:left w:val="nil"/>
              <w:bottom w:val="single" w:color="000000" w:sz="8" w:space="0"/>
              <w:right w:val="single" w:color="000000" w:sz="8" w:space="0"/>
            </w:tcBorders>
            <w:noWrap w:val="0"/>
            <w:vAlign w:val="center"/>
          </w:tcPr>
          <w:p w14:paraId="1AE819A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132F9458">
            <w:pPr>
              <w:jc w:val="both"/>
              <w:rPr>
                <w:rFonts w:hint="eastAsia" w:ascii="Arial Narrow" w:hAnsi="Arial Narrow" w:eastAsia="仿宋_GB2312" w:cs="宋体"/>
                <w:i w:val="0"/>
                <w:iCs w:val="0"/>
                <w:color w:val="000000"/>
                <w:sz w:val="21"/>
                <w:szCs w:val="21"/>
                <w:u w:val="none"/>
              </w:rPr>
            </w:pPr>
          </w:p>
        </w:tc>
      </w:tr>
      <w:tr w14:paraId="02CA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C2FC1A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18</w:t>
            </w:r>
          </w:p>
        </w:tc>
        <w:tc>
          <w:tcPr>
            <w:tcW w:w="2015" w:type="pct"/>
            <w:tcBorders>
              <w:top w:val="nil"/>
              <w:left w:val="nil"/>
              <w:bottom w:val="single" w:color="000000" w:sz="8" w:space="0"/>
              <w:right w:val="single" w:color="000000" w:sz="8" w:space="0"/>
            </w:tcBorders>
            <w:noWrap w:val="0"/>
            <w:vAlign w:val="center"/>
          </w:tcPr>
          <w:p w14:paraId="6E9C3904">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对未并表金融机构大额少数资本投资中的核心一级资本中应扣除金额</w:t>
            </w:r>
          </w:p>
        </w:tc>
        <w:tc>
          <w:tcPr>
            <w:tcW w:w="1014" w:type="pct"/>
            <w:tcBorders>
              <w:top w:val="nil"/>
              <w:left w:val="nil"/>
              <w:bottom w:val="single" w:color="000000" w:sz="8" w:space="0"/>
              <w:right w:val="single" w:color="000000" w:sz="8" w:space="0"/>
            </w:tcBorders>
            <w:noWrap w:val="0"/>
            <w:vAlign w:val="center"/>
          </w:tcPr>
          <w:p w14:paraId="016FB29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8AA5528">
            <w:pPr>
              <w:jc w:val="both"/>
              <w:rPr>
                <w:rFonts w:hint="eastAsia" w:ascii="Arial Narrow" w:hAnsi="Arial Narrow" w:eastAsia="仿宋_GB2312" w:cs="宋体"/>
                <w:i w:val="0"/>
                <w:iCs w:val="0"/>
                <w:color w:val="000000"/>
                <w:sz w:val="21"/>
                <w:szCs w:val="21"/>
                <w:u w:val="none"/>
              </w:rPr>
            </w:pPr>
          </w:p>
        </w:tc>
      </w:tr>
      <w:tr w14:paraId="1C7F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C79B40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19</w:t>
            </w:r>
          </w:p>
        </w:tc>
        <w:tc>
          <w:tcPr>
            <w:tcW w:w="2015" w:type="pct"/>
            <w:tcBorders>
              <w:top w:val="nil"/>
              <w:left w:val="nil"/>
              <w:bottom w:val="single" w:color="000000" w:sz="8" w:space="0"/>
              <w:right w:val="single" w:color="000000" w:sz="8" w:space="0"/>
            </w:tcBorders>
            <w:noWrap w:val="0"/>
            <w:vAlign w:val="center"/>
          </w:tcPr>
          <w:p w14:paraId="0313F21A">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其他依赖于银行未来盈利的净递延税资产中应扣除金额</w:t>
            </w:r>
          </w:p>
        </w:tc>
        <w:tc>
          <w:tcPr>
            <w:tcW w:w="1014" w:type="pct"/>
            <w:tcBorders>
              <w:top w:val="nil"/>
              <w:left w:val="nil"/>
              <w:bottom w:val="single" w:color="000000" w:sz="8" w:space="0"/>
              <w:right w:val="single" w:color="000000" w:sz="8" w:space="0"/>
            </w:tcBorders>
            <w:noWrap w:val="0"/>
            <w:vAlign w:val="center"/>
          </w:tcPr>
          <w:p w14:paraId="5BCBB7D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1B334CE2">
            <w:pPr>
              <w:jc w:val="both"/>
              <w:rPr>
                <w:rFonts w:hint="eastAsia" w:ascii="Arial Narrow" w:hAnsi="Arial Narrow" w:eastAsia="仿宋_GB2312" w:cs="宋体"/>
                <w:i w:val="0"/>
                <w:iCs w:val="0"/>
                <w:color w:val="000000"/>
                <w:sz w:val="21"/>
                <w:szCs w:val="21"/>
                <w:u w:val="none"/>
              </w:rPr>
            </w:pPr>
          </w:p>
        </w:tc>
      </w:tr>
      <w:tr w14:paraId="1806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165B28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20</w:t>
            </w:r>
          </w:p>
        </w:tc>
        <w:tc>
          <w:tcPr>
            <w:tcW w:w="2015" w:type="pct"/>
            <w:tcBorders>
              <w:top w:val="nil"/>
              <w:left w:val="nil"/>
              <w:bottom w:val="single" w:color="000000" w:sz="8" w:space="0"/>
              <w:right w:val="single" w:color="000000" w:sz="8" w:space="0"/>
            </w:tcBorders>
            <w:noWrap w:val="0"/>
            <w:vAlign w:val="center"/>
          </w:tcPr>
          <w:p w14:paraId="0EAAFD4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对未并表金融机构大额少数资本投资中的核心一级资本和其他依赖于银行未来盈利的净递延税资产的未扣除部分超过核心一级资本15%的应扣除金额</w:t>
            </w:r>
          </w:p>
        </w:tc>
        <w:tc>
          <w:tcPr>
            <w:tcW w:w="1014" w:type="pct"/>
            <w:tcBorders>
              <w:top w:val="nil"/>
              <w:left w:val="nil"/>
              <w:bottom w:val="single" w:color="000000" w:sz="8" w:space="0"/>
              <w:right w:val="single" w:color="000000" w:sz="8" w:space="0"/>
            </w:tcBorders>
            <w:noWrap w:val="0"/>
            <w:vAlign w:val="center"/>
          </w:tcPr>
          <w:p w14:paraId="2A53639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2AF20CA">
            <w:pPr>
              <w:jc w:val="both"/>
              <w:rPr>
                <w:rFonts w:hint="eastAsia" w:ascii="Arial Narrow" w:hAnsi="Arial Narrow" w:eastAsia="仿宋_GB2312" w:cs="宋体"/>
                <w:i w:val="0"/>
                <w:iCs w:val="0"/>
                <w:color w:val="000000"/>
                <w:sz w:val="21"/>
                <w:szCs w:val="21"/>
                <w:u w:val="none"/>
              </w:rPr>
            </w:pPr>
          </w:p>
        </w:tc>
      </w:tr>
      <w:tr w14:paraId="40F19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025774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21</w:t>
            </w:r>
          </w:p>
        </w:tc>
        <w:tc>
          <w:tcPr>
            <w:tcW w:w="2015" w:type="pct"/>
            <w:tcBorders>
              <w:top w:val="nil"/>
              <w:left w:val="nil"/>
              <w:bottom w:val="single" w:color="000000" w:sz="8" w:space="0"/>
              <w:right w:val="single" w:color="000000" w:sz="8" w:space="0"/>
            </w:tcBorders>
            <w:noWrap w:val="0"/>
            <w:vAlign w:val="center"/>
          </w:tcPr>
          <w:p w14:paraId="358D351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其中：应在对金融机构大额少数资本投资中扣除的金额</w:t>
            </w:r>
          </w:p>
        </w:tc>
        <w:tc>
          <w:tcPr>
            <w:tcW w:w="1014" w:type="pct"/>
            <w:tcBorders>
              <w:top w:val="nil"/>
              <w:left w:val="nil"/>
              <w:bottom w:val="single" w:color="000000" w:sz="8" w:space="0"/>
              <w:right w:val="single" w:color="000000" w:sz="8" w:space="0"/>
            </w:tcBorders>
            <w:noWrap w:val="0"/>
            <w:vAlign w:val="center"/>
          </w:tcPr>
          <w:p w14:paraId="43DA6B5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565D326B">
            <w:pPr>
              <w:jc w:val="both"/>
              <w:rPr>
                <w:rFonts w:hint="eastAsia" w:ascii="Arial Narrow" w:hAnsi="Arial Narrow" w:eastAsia="仿宋_GB2312" w:cs="宋体"/>
                <w:i w:val="0"/>
                <w:iCs w:val="0"/>
                <w:color w:val="000000"/>
                <w:sz w:val="21"/>
                <w:szCs w:val="21"/>
                <w:u w:val="none"/>
              </w:rPr>
            </w:pPr>
          </w:p>
        </w:tc>
      </w:tr>
      <w:tr w14:paraId="6303D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19E60F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22</w:t>
            </w:r>
          </w:p>
        </w:tc>
        <w:tc>
          <w:tcPr>
            <w:tcW w:w="2015" w:type="pct"/>
            <w:tcBorders>
              <w:top w:val="nil"/>
              <w:left w:val="nil"/>
              <w:bottom w:val="single" w:color="000000" w:sz="8" w:space="0"/>
              <w:right w:val="single" w:color="000000" w:sz="8" w:space="0"/>
            </w:tcBorders>
            <w:noWrap w:val="0"/>
            <w:vAlign w:val="center"/>
          </w:tcPr>
          <w:p w14:paraId="2D9ACB5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其中：应在其他依赖于银行未来盈利的净递延税资产中扣除的金额</w:t>
            </w:r>
          </w:p>
        </w:tc>
        <w:tc>
          <w:tcPr>
            <w:tcW w:w="1014" w:type="pct"/>
            <w:tcBorders>
              <w:top w:val="nil"/>
              <w:left w:val="nil"/>
              <w:bottom w:val="single" w:color="000000" w:sz="8" w:space="0"/>
              <w:right w:val="single" w:color="000000" w:sz="8" w:space="0"/>
            </w:tcBorders>
            <w:noWrap w:val="0"/>
            <w:vAlign w:val="center"/>
          </w:tcPr>
          <w:p w14:paraId="1E54DFD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6FD90D89">
            <w:pPr>
              <w:jc w:val="both"/>
              <w:rPr>
                <w:rFonts w:hint="eastAsia" w:ascii="Arial Narrow" w:hAnsi="Arial Narrow" w:eastAsia="仿宋_GB2312" w:cs="宋体"/>
                <w:i w:val="0"/>
                <w:iCs w:val="0"/>
                <w:color w:val="000000"/>
                <w:sz w:val="21"/>
                <w:szCs w:val="21"/>
                <w:u w:val="none"/>
              </w:rPr>
            </w:pPr>
          </w:p>
        </w:tc>
      </w:tr>
      <w:tr w14:paraId="3AC6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92FC7A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23</w:t>
            </w:r>
          </w:p>
        </w:tc>
        <w:tc>
          <w:tcPr>
            <w:tcW w:w="2015" w:type="pct"/>
            <w:tcBorders>
              <w:top w:val="nil"/>
              <w:left w:val="nil"/>
              <w:bottom w:val="single" w:color="000000" w:sz="8" w:space="0"/>
              <w:right w:val="single" w:color="000000" w:sz="8" w:space="0"/>
            </w:tcBorders>
            <w:noWrap w:val="0"/>
            <w:vAlign w:val="center"/>
          </w:tcPr>
          <w:p w14:paraId="205FF3A6">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其他应在核心一级资本中扣除的项目合计</w:t>
            </w:r>
          </w:p>
        </w:tc>
        <w:tc>
          <w:tcPr>
            <w:tcW w:w="1014" w:type="pct"/>
            <w:tcBorders>
              <w:top w:val="nil"/>
              <w:left w:val="nil"/>
              <w:bottom w:val="single" w:color="000000" w:sz="8" w:space="0"/>
              <w:right w:val="single" w:color="000000" w:sz="8" w:space="0"/>
            </w:tcBorders>
            <w:noWrap w:val="0"/>
            <w:vAlign w:val="center"/>
          </w:tcPr>
          <w:p w14:paraId="366ECE2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53EE5946">
            <w:pPr>
              <w:jc w:val="both"/>
              <w:rPr>
                <w:rFonts w:hint="eastAsia" w:ascii="Arial Narrow" w:hAnsi="Arial Narrow" w:eastAsia="仿宋_GB2312" w:cs="宋体"/>
                <w:i w:val="0"/>
                <w:iCs w:val="0"/>
                <w:color w:val="000000"/>
                <w:sz w:val="21"/>
                <w:szCs w:val="21"/>
                <w:u w:val="none"/>
              </w:rPr>
            </w:pPr>
          </w:p>
        </w:tc>
      </w:tr>
      <w:tr w14:paraId="003D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47D29F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24</w:t>
            </w:r>
          </w:p>
        </w:tc>
        <w:tc>
          <w:tcPr>
            <w:tcW w:w="2015" w:type="pct"/>
            <w:tcBorders>
              <w:top w:val="nil"/>
              <w:left w:val="nil"/>
              <w:bottom w:val="single" w:color="000000" w:sz="8" w:space="0"/>
              <w:right w:val="single" w:color="000000" w:sz="8" w:space="0"/>
            </w:tcBorders>
            <w:noWrap w:val="0"/>
            <w:vAlign w:val="center"/>
          </w:tcPr>
          <w:p w14:paraId="4A5186CC">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应从其他一级资本和二级资本中扣除的未扣缺口</w:t>
            </w:r>
          </w:p>
        </w:tc>
        <w:tc>
          <w:tcPr>
            <w:tcW w:w="1014" w:type="pct"/>
            <w:tcBorders>
              <w:top w:val="nil"/>
              <w:left w:val="nil"/>
              <w:bottom w:val="single" w:color="000000" w:sz="8" w:space="0"/>
              <w:right w:val="single" w:color="000000" w:sz="8" w:space="0"/>
            </w:tcBorders>
            <w:noWrap w:val="0"/>
            <w:vAlign w:val="center"/>
          </w:tcPr>
          <w:p w14:paraId="5E08432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D0B9876">
            <w:pPr>
              <w:jc w:val="both"/>
              <w:rPr>
                <w:rFonts w:hint="eastAsia" w:ascii="Arial Narrow" w:hAnsi="Arial Narrow" w:eastAsia="仿宋_GB2312" w:cs="宋体"/>
                <w:i w:val="0"/>
                <w:iCs w:val="0"/>
                <w:color w:val="000000"/>
                <w:sz w:val="21"/>
                <w:szCs w:val="21"/>
                <w:u w:val="none"/>
              </w:rPr>
            </w:pPr>
          </w:p>
        </w:tc>
      </w:tr>
      <w:tr w14:paraId="204E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A7F86F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25</w:t>
            </w:r>
          </w:p>
        </w:tc>
        <w:tc>
          <w:tcPr>
            <w:tcW w:w="2015" w:type="pct"/>
            <w:tcBorders>
              <w:top w:val="nil"/>
              <w:left w:val="nil"/>
              <w:bottom w:val="single" w:color="000000" w:sz="8" w:space="0"/>
              <w:right w:val="single" w:color="000000" w:sz="8" w:space="0"/>
            </w:tcBorders>
            <w:noWrap w:val="0"/>
            <w:vAlign w:val="center"/>
          </w:tcPr>
          <w:p w14:paraId="56F1B037">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核心一级资本扣除项总和</w:t>
            </w:r>
          </w:p>
        </w:tc>
        <w:tc>
          <w:tcPr>
            <w:tcW w:w="1014" w:type="pct"/>
            <w:tcBorders>
              <w:top w:val="nil"/>
              <w:left w:val="nil"/>
              <w:bottom w:val="single" w:color="000000" w:sz="8" w:space="0"/>
              <w:right w:val="single" w:color="000000" w:sz="8" w:space="0"/>
            </w:tcBorders>
            <w:noWrap w:val="0"/>
            <w:vAlign w:val="center"/>
          </w:tcPr>
          <w:p w14:paraId="4A5C032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16,320.58 </w:t>
            </w:r>
          </w:p>
        </w:tc>
        <w:tc>
          <w:tcPr>
            <w:tcW w:w="1253" w:type="pct"/>
            <w:tcBorders>
              <w:top w:val="nil"/>
              <w:left w:val="nil"/>
              <w:bottom w:val="single" w:color="000000" w:sz="8" w:space="0"/>
              <w:right w:val="single" w:color="000000" w:sz="8" w:space="0"/>
            </w:tcBorders>
            <w:noWrap w:val="0"/>
            <w:vAlign w:val="center"/>
          </w:tcPr>
          <w:p w14:paraId="275ABF82">
            <w:pPr>
              <w:jc w:val="both"/>
              <w:rPr>
                <w:rFonts w:hint="eastAsia" w:ascii="Arial Narrow" w:hAnsi="Arial Narrow" w:eastAsia="仿宋_GB2312" w:cs="宋体"/>
                <w:i w:val="0"/>
                <w:iCs w:val="0"/>
                <w:color w:val="000000"/>
                <w:sz w:val="21"/>
                <w:szCs w:val="21"/>
                <w:u w:val="none"/>
              </w:rPr>
            </w:pPr>
          </w:p>
        </w:tc>
      </w:tr>
      <w:tr w14:paraId="3F18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C74749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26</w:t>
            </w:r>
          </w:p>
        </w:tc>
        <w:tc>
          <w:tcPr>
            <w:tcW w:w="2015" w:type="pct"/>
            <w:tcBorders>
              <w:top w:val="nil"/>
              <w:left w:val="nil"/>
              <w:bottom w:val="single" w:color="000000" w:sz="8" w:space="0"/>
              <w:right w:val="single" w:color="000000" w:sz="8" w:space="0"/>
            </w:tcBorders>
            <w:noWrap w:val="0"/>
            <w:vAlign w:val="center"/>
          </w:tcPr>
          <w:p w14:paraId="52ADE217">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核心一级资本净额</w:t>
            </w:r>
          </w:p>
        </w:tc>
        <w:tc>
          <w:tcPr>
            <w:tcW w:w="1014" w:type="pct"/>
            <w:tcBorders>
              <w:top w:val="nil"/>
              <w:left w:val="nil"/>
              <w:bottom w:val="single" w:color="000000" w:sz="8" w:space="0"/>
              <w:right w:val="single" w:color="000000" w:sz="8" w:space="0"/>
            </w:tcBorders>
            <w:noWrap w:val="0"/>
            <w:vAlign w:val="center"/>
          </w:tcPr>
          <w:p w14:paraId="070312D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2,015,906.22 </w:t>
            </w:r>
          </w:p>
        </w:tc>
        <w:tc>
          <w:tcPr>
            <w:tcW w:w="1253" w:type="pct"/>
            <w:tcBorders>
              <w:top w:val="nil"/>
              <w:left w:val="nil"/>
              <w:bottom w:val="single" w:color="000000" w:sz="8" w:space="0"/>
              <w:right w:val="single" w:color="000000" w:sz="8" w:space="0"/>
            </w:tcBorders>
            <w:noWrap w:val="0"/>
            <w:vAlign w:val="center"/>
          </w:tcPr>
          <w:p w14:paraId="4EEC910F">
            <w:pPr>
              <w:jc w:val="both"/>
              <w:rPr>
                <w:rFonts w:hint="eastAsia" w:ascii="Arial Narrow" w:hAnsi="Arial Narrow" w:eastAsia="仿宋_GB2312" w:cs="宋体"/>
                <w:i w:val="0"/>
                <w:iCs w:val="0"/>
                <w:color w:val="000000"/>
                <w:sz w:val="21"/>
                <w:szCs w:val="21"/>
                <w:u w:val="none"/>
              </w:rPr>
            </w:pPr>
          </w:p>
        </w:tc>
      </w:tr>
      <w:tr w14:paraId="3C60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4D16D78B">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其他一级资本</w:t>
            </w:r>
          </w:p>
        </w:tc>
      </w:tr>
      <w:tr w14:paraId="7237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8FCF5E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27</w:t>
            </w:r>
          </w:p>
        </w:tc>
        <w:tc>
          <w:tcPr>
            <w:tcW w:w="2015" w:type="pct"/>
            <w:tcBorders>
              <w:top w:val="single" w:color="000000" w:sz="8" w:space="0"/>
              <w:left w:val="nil"/>
              <w:bottom w:val="single" w:color="000000" w:sz="8" w:space="0"/>
              <w:right w:val="single" w:color="000000" w:sz="8" w:space="0"/>
            </w:tcBorders>
            <w:noWrap w:val="0"/>
            <w:vAlign w:val="center"/>
          </w:tcPr>
          <w:p w14:paraId="56726B6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其他一级资本工具及其溢价</w:t>
            </w:r>
          </w:p>
        </w:tc>
        <w:tc>
          <w:tcPr>
            <w:tcW w:w="1014" w:type="pct"/>
            <w:tcBorders>
              <w:top w:val="single" w:color="000000" w:sz="8" w:space="0"/>
              <w:left w:val="nil"/>
              <w:bottom w:val="single" w:color="000000" w:sz="8" w:space="0"/>
              <w:right w:val="single" w:color="000000" w:sz="8" w:space="0"/>
            </w:tcBorders>
            <w:noWrap w:val="0"/>
            <w:vAlign w:val="center"/>
          </w:tcPr>
          <w:p w14:paraId="48BD9AD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single" w:color="000000" w:sz="8" w:space="0"/>
              <w:left w:val="nil"/>
              <w:bottom w:val="single" w:color="000000" w:sz="8" w:space="0"/>
              <w:right w:val="single" w:color="000000" w:sz="8" w:space="0"/>
            </w:tcBorders>
            <w:noWrap w:val="0"/>
            <w:vAlign w:val="center"/>
          </w:tcPr>
          <w:p w14:paraId="7F1CFA3D">
            <w:pPr>
              <w:jc w:val="both"/>
              <w:rPr>
                <w:rFonts w:hint="eastAsia" w:ascii="Arial Narrow" w:hAnsi="Arial Narrow" w:eastAsia="仿宋_GB2312" w:cs="宋体"/>
                <w:i w:val="0"/>
                <w:iCs w:val="0"/>
                <w:color w:val="000000"/>
                <w:sz w:val="21"/>
                <w:szCs w:val="21"/>
                <w:u w:val="none"/>
              </w:rPr>
            </w:pPr>
          </w:p>
        </w:tc>
      </w:tr>
      <w:tr w14:paraId="3A4C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DA207C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28</w:t>
            </w:r>
          </w:p>
        </w:tc>
        <w:tc>
          <w:tcPr>
            <w:tcW w:w="2015" w:type="pct"/>
            <w:tcBorders>
              <w:top w:val="nil"/>
              <w:left w:val="nil"/>
              <w:bottom w:val="single" w:color="000000" w:sz="8" w:space="0"/>
              <w:right w:val="single" w:color="000000" w:sz="8" w:space="0"/>
            </w:tcBorders>
            <w:noWrap w:val="0"/>
            <w:vAlign w:val="center"/>
          </w:tcPr>
          <w:p w14:paraId="043ADAF1">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其中：权益部分</w:t>
            </w:r>
          </w:p>
        </w:tc>
        <w:tc>
          <w:tcPr>
            <w:tcW w:w="1014" w:type="pct"/>
            <w:tcBorders>
              <w:top w:val="nil"/>
              <w:left w:val="nil"/>
              <w:bottom w:val="single" w:color="000000" w:sz="8" w:space="0"/>
              <w:right w:val="single" w:color="000000" w:sz="8" w:space="0"/>
            </w:tcBorders>
            <w:noWrap w:val="0"/>
            <w:vAlign w:val="center"/>
          </w:tcPr>
          <w:p w14:paraId="707A855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53299D77">
            <w:pPr>
              <w:jc w:val="both"/>
              <w:rPr>
                <w:rFonts w:hint="eastAsia" w:ascii="Arial Narrow" w:hAnsi="Arial Narrow" w:eastAsia="仿宋_GB2312" w:cs="宋体"/>
                <w:i w:val="0"/>
                <w:iCs w:val="0"/>
                <w:color w:val="000000"/>
                <w:sz w:val="21"/>
                <w:szCs w:val="21"/>
                <w:u w:val="none"/>
              </w:rPr>
            </w:pPr>
          </w:p>
        </w:tc>
      </w:tr>
      <w:tr w14:paraId="5BC5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E735FA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29</w:t>
            </w:r>
          </w:p>
        </w:tc>
        <w:tc>
          <w:tcPr>
            <w:tcW w:w="2015" w:type="pct"/>
            <w:tcBorders>
              <w:top w:val="nil"/>
              <w:left w:val="nil"/>
              <w:bottom w:val="single" w:color="000000" w:sz="8" w:space="0"/>
              <w:right w:val="single" w:color="000000" w:sz="8" w:space="0"/>
            </w:tcBorders>
            <w:noWrap w:val="0"/>
            <w:vAlign w:val="center"/>
          </w:tcPr>
          <w:p w14:paraId="579DE5BE">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其中：负债部分</w:t>
            </w:r>
          </w:p>
        </w:tc>
        <w:tc>
          <w:tcPr>
            <w:tcW w:w="1014" w:type="pct"/>
            <w:tcBorders>
              <w:top w:val="nil"/>
              <w:left w:val="nil"/>
              <w:bottom w:val="single" w:color="000000" w:sz="8" w:space="0"/>
              <w:right w:val="single" w:color="000000" w:sz="8" w:space="0"/>
            </w:tcBorders>
            <w:noWrap w:val="0"/>
            <w:vAlign w:val="center"/>
          </w:tcPr>
          <w:p w14:paraId="5A21881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48D5B51">
            <w:pPr>
              <w:jc w:val="both"/>
              <w:rPr>
                <w:rFonts w:hint="eastAsia" w:ascii="Arial Narrow" w:hAnsi="Arial Narrow" w:eastAsia="仿宋_GB2312" w:cs="宋体"/>
                <w:i w:val="0"/>
                <w:iCs w:val="0"/>
                <w:color w:val="000000"/>
                <w:sz w:val="21"/>
                <w:szCs w:val="21"/>
                <w:u w:val="none"/>
              </w:rPr>
            </w:pPr>
          </w:p>
        </w:tc>
      </w:tr>
      <w:tr w14:paraId="350E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61E065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30</w:t>
            </w:r>
          </w:p>
        </w:tc>
        <w:tc>
          <w:tcPr>
            <w:tcW w:w="2015" w:type="pct"/>
            <w:tcBorders>
              <w:top w:val="nil"/>
              <w:left w:val="nil"/>
              <w:bottom w:val="single" w:color="000000" w:sz="8" w:space="0"/>
              <w:right w:val="single" w:color="000000" w:sz="8" w:space="0"/>
            </w:tcBorders>
            <w:noWrap w:val="0"/>
            <w:vAlign w:val="center"/>
          </w:tcPr>
          <w:p w14:paraId="737E6AF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少数股东资本可计入部分</w:t>
            </w:r>
          </w:p>
        </w:tc>
        <w:tc>
          <w:tcPr>
            <w:tcW w:w="1014" w:type="pct"/>
            <w:tcBorders>
              <w:top w:val="nil"/>
              <w:left w:val="nil"/>
              <w:bottom w:val="single" w:color="000000" w:sz="8" w:space="0"/>
              <w:right w:val="single" w:color="000000" w:sz="8" w:space="0"/>
            </w:tcBorders>
            <w:noWrap w:val="0"/>
            <w:vAlign w:val="center"/>
          </w:tcPr>
          <w:p w14:paraId="753268A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325.75 </w:t>
            </w:r>
          </w:p>
        </w:tc>
        <w:tc>
          <w:tcPr>
            <w:tcW w:w="1253" w:type="pct"/>
            <w:tcBorders>
              <w:top w:val="nil"/>
              <w:left w:val="nil"/>
              <w:bottom w:val="single" w:color="000000" w:sz="8" w:space="0"/>
              <w:right w:val="single" w:color="000000" w:sz="8" w:space="0"/>
            </w:tcBorders>
            <w:noWrap w:val="0"/>
            <w:vAlign w:val="center"/>
          </w:tcPr>
          <w:p w14:paraId="5C3224F0">
            <w:pPr>
              <w:jc w:val="both"/>
              <w:rPr>
                <w:rFonts w:hint="eastAsia" w:ascii="Arial Narrow" w:hAnsi="Arial Narrow" w:eastAsia="仿宋_GB2312" w:cs="宋体"/>
                <w:i w:val="0"/>
                <w:iCs w:val="0"/>
                <w:color w:val="000000"/>
                <w:sz w:val="21"/>
                <w:szCs w:val="21"/>
                <w:u w:val="none"/>
              </w:rPr>
            </w:pPr>
          </w:p>
        </w:tc>
      </w:tr>
      <w:tr w14:paraId="7C0A9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57D11E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31</w:t>
            </w:r>
          </w:p>
        </w:tc>
        <w:tc>
          <w:tcPr>
            <w:tcW w:w="2015" w:type="pct"/>
            <w:tcBorders>
              <w:top w:val="nil"/>
              <w:left w:val="nil"/>
              <w:bottom w:val="single" w:color="000000" w:sz="8" w:space="0"/>
              <w:right w:val="single" w:color="000000" w:sz="8" w:space="0"/>
            </w:tcBorders>
            <w:noWrap w:val="0"/>
            <w:vAlign w:val="center"/>
          </w:tcPr>
          <w:p w14:paraId="3FD30D28">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扣除前的其他一级资本</w:t>
            </w:r>
          </w:p>
        </w:tc>
        <w:tc>
          <w:tcPr>
            <w:tcW w:w="1014" w:type="pct"/>
            <w:tcBorders>
              <w:top w:val="nil"/>
              <w:left w:val="nil"/>
              <w:bottom w:val="single" w:color="000000" w:sz="8" w:space="0"/>
              <w:right w:val="single" w:color="000000" w:sz="8" w:space="0"/>
            </w:tcBorders>
            <w:noWrap w:val="0"/>
            <w:vAlign w:val="center"/>
          </w:tcPr>
          <w:p w14:paraId="2CFED82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325.75 </w:t>
            </w:r>
          </w:p>
        </w:tc>
        <w:tc>
          <w:tcPr>
            <w:tcW w:w="1253" w:type="pct"/>
            <w:tcBorders>
              <w:top w:val="nil"/>
              <w:left w:val="nil"/>
              <w:bottom w:val="single" w:color="000000" w:sz="8" w:space="0"/>
              <w:right w:val="single" w:color="000000" w:sz="8" w:space="0"/>
            </w:tcBorders>
            <w:noWrap w:val="0"/>
            <w:vAlign w:val="center"/>
          </w:tcPr>
          <w:p w14:paraId="00BFFFDE">
            <w:pPr>
              <w:jc w:val="both"/>
              <w:rPr>
                <w:rFonts w:hint="eastAsia" w:ascii="Arial Narrow" w:hAnsi="Arial Narrow" w:eastAsia="仿宋_GB2312" w:cs="宋体"/>
                <w:i w:val="0"/>
                <w:iCs w:val="0"/>
                <w:color w:val="000000"/>
                <w:sz w:val="21"/>
                <w:szCs w:val="21"/>
                <w:u w:val="none"/>
              </w:rPr>
            </w:pPr>
          </w:p>
        </w:tc>
      </w:tr>
      <w:tr w14:paraId="01AE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784BF6C0">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其他一级资本:扣除项</w:t>
            </w:r>
          </w:p>
        </w:tc>
      </w:tr>
      <w:tr w14:paraId="34C17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162E2A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32</w:t>
            </w:r>
          </w:p>
        </w:tc>
        <w:tc>
          <w:tcPr>
            <w:tcW w:w="2015" w:type="pct"/>
            <w:tcBorders>
              <w:top w:val="single" w:color="000000" w:sz="8" w:space="0"/>
              <w:left w:val="nil"/>
              <w:bottom w:val="single" w:color="000000" w:sz="8" w:space="0"/>
              <w:right w:val="single" w:color="000000" w:sz="8" w:space="0"/>
            </w:tcBorders>
            <w:noWrap w:val="0"/>
            <w:vAlign w:val="center"/>
          </w:tcPr>
          <w:p w14:paraId="4089A40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直接或间接持有的本银行其他一级资本</w:t>
            </w:r>
          </w:p>
        </w:tc>
        <w:tc>
          <w:tcPr>
            <w:tcW w:w="1014" w:type="pct"/>
            <w:tcBorders>
              <w:top w:val="single" w:color="000000" w:sz="8" w:space="0"/>
              <w:left w:val="nil"/>
              <w:bottom w:val="single" w:color="000000" w:sz="8" w:space="0"/>
              <w:right w:val="single" w:color="000000" w:sz="8" w:space="0"/>
            </w:tcBorders>
            <w:noWrap w:val="0"/>
            <w:vAlign w:val="center"/>
          </w:tcPr>
          <w:p w14:paraId="039A1BB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single" w:color="000000" w:sz="8" w:space="0"/>
              <w:left w:val="nil"/>
              <w:bottom w:val="single" w:color="000000" w:sz="8" w:space="0"/>
              <w:right w:val="single" w:color="000000" w:sz="8" w:space="0"/>
            </w:tcBorders>
            <w:noWrap w:val="0"/>
            <w:vAlign w:val="center"/>
          </w:tcPr>
          <w:p w14:paraId="5E774F0D">
            <w:pPr>
              <w:jc w:val="both"/>
              <w:rPr>
                <w:rFonts w:hint="eastAsia" w:ascii="Arial Narrow" w:hAnsi="Arial Narrow" w:eastAsia="仿宋_GB2312" w:cs="宋体"/>
                <w:i w:val="0"/>
                <w:iCs w:val="0"/>
                <w:color w:val="000000"/>
                <w:sz w:val="21"/>
                <w:szCs w:val="21"/>
                <w:u w:val="none"/>
              </w:rPr>
            </w:pPr>
          </w:p>
        </w:tc>
      </w:tr>
      <w:tr w14:paraId="51EE5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26E4A3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33</w:t>
            </w:r>
          </w:p>
        </w:tc>
        <w:tc>
          <w:tcPr>
            <w:tcW w:w="2015" w:type="pct"/>
            <w:tcBorders>
              <w:top w:val="nil"/>
              <w:left w:val="nil"/>
              <w:bottom w:val="single" w:color="000000" w:sz="8" w:space="0"/>
              <w:right w:val="single" w:color="000000" w:sz="8" w:space="0"/>
            </w:tcBorders>
            <w:noWrap w:val="0"/>
            <w:vAlign w:val="center"/>
          </w:tcPr>
          <w:p w14:paraId="7D02D18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银行间或银行与其他金融机构间通过协议相互持有的其他一级资本</w:t>
            </w:r>
          </w:p>
        </w:tc>
        <w:tc>
          <w:tcPr>
            <w:tcW w:w="1014" w:type="pct"/>
            <w:tcBorders>
              <w:top w:val="nil"/>
              <w:left w:val="nil"/>
              <w:bottom w:val="single" w:color="000000" w:sz="8" w:space="0"/>
              <w:right w:val="single" w:color="000000" w:sz="8" w:space="0"/>
            </w:tcBorders>
            <w:noWrap w:val="0"/>
            <w:vAlign w:val="center"/>
          </w:tcPr>
          <w:p w14:paraId="348D623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80636B2">
            <w:pPr>
              <w:jc w:val="both"/>
              <w:rPr>
                <w:rFonts w:hint="eastAsia" w:ascii="Arial Narrow" w:hAnsi="Arial Narrow" w:eastAsia="仿宋_GB2312" w:cs="宋体"/>
                <w:i w:val="0"/>
                <w:iCs w:val="0"/>
                <w:color w:val="000000"/>
                <w:sz w:val="21"/>
                <w:szCs w:val="21"/>
                <w:u w:val="none"/>
              </w:rPr>
            </w:pPr>
          </w:p>
        </w:tc>
      </w:tr>
      <w:tr w14:paraId="1EB82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82E219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34</w:t>
            </w:r>
          </w:p>
        </w:tc>
        <w:tc>
          <w:tcPr>
            <w:tcW w:w="2015" w:type="pct"/>
            <w:tcBorders>
              <w:top w:val="nil"/>
              <w:left w:val="nil"/>
              <w:bottom w:val="single" w:color="000000" w:sz="8" w:space="0"/>
              <w:right w:val="single" w:color="000000" w:sz="8" w:space="0"/>
            </w:tcBorders>
            <w:noWrap w:val="0"/>
            <w:vAlign w:val="center"/>
          </w:tcPr>
          <w:p w14:paraId="311CD76B">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对未并表金融机构小额少数资本投资中的其他一级资本中应扣除金额</w:t>
            </w:r>
          </w:p>
        </w:tc>
        <w:tc>
          <w:tcPr>
            <w:tcW w:w="1014" w:type="pct"/>
            <w:tcBorders>
              <w:top w:val="nil"/>
              <w:left w:val="nil"/>
              <w:bottom w:val="single" w:color="000000" w:sz="8" w:space="0"/>
              <w:right w:val="single" w:color="000000" w:sz="8" w:space="0"/>
            </w:tcBorders>
            <w:noWrap w:val="0"/>
            <w:vAlign w:val="center"/>
          </w:tcPr>
          <w:p w14:paraId="537C88C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136788A">
            <w:pPr>
              <w:jc w:val="both"/>
              <w:rPr>
                <w:rFonts w:hint="eastAsia" w:ascii="Arial Narrow" w:hAnsi="Arial Narrow" w:eastAsia="仿宋_GB2312" w:cs="宋体"/>
                <w:i w:val="0"/>
                <w:iCs w:val="0"/>
                <w:color w:val="000000"/>
                <w:sz w:val="21"/>
                <w:szCs w:val="21"/>
                <w:u w:val="none"/>
              </w:rPr>
            </w:pPr>
          </w:p>
        </w:tc>
      </w:tr>
      <w:tr w14:paraId="2A3F1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A58622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35</w:t>
            </w:r>
          </w:p>
        </w:tc>
        <w:tc>
          <w:tcPr>
            <w:tcW w:w="2015" w:type="pct"/>
            <w:tcBorders>
              <w:top w:val="nil"/>
              <w:left w:val="nil"/>
              <w:bottom w:val="single" w:color="000000" w:sz="8" w:space="0"/>
              <w:right w:val="single" w:color="000000" w:sz="8" w:space="0"/>
            </w:tcBorders>
            <w:noWrap w:val="0"/>
            <w:vAlign w:val="center"/>
          </w:tcPr>
          <w:p w14:paraId="6B968E13">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对未并表金融机构大额少数资本投资中的其他一级资本中应扣除金额</w:t>
            </w:r>
          </w:p>
        </w:tc>
        <w:tc>
          <w:tcPr>
            <w:tcW w:w="1014" w:type="pct"/>
            <w:tcBorders>
              <w:top w:val="nil"/>
              <w:left w:val="nil"/>
              <w:bottom w:val="single" w:color="000000" w:sz="8" w:space="0"/>
              <w:right w:val="single" w:color="000000" w:sz="8" w:space="0"/>
            </w:tcBorders>
            <w:noWrap w:val="0"/>
            <w:vAlign w:val="center"/>
          </w:tcPr>
          <w:p w14:paraId="0FFA5CD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547468D8">
            <w:pPr>
              <w:jc w:val="both"/>
              <w:rPr>
                <w:rFonts w:hint="eastAsia" w:ascii="Arial Narrow" w:hAnsi="Arial Narrow" w:eastAsia="仿宋_GB2312" w:cs="宋体"/>
                <w:i w:val="0"/>
                <w:iCs w:val="0"/>
                <w:color w:val="000000"/>
                <w:sz w:val="21"/>
                <w:szCs w:val="21"/>
                <w:u w:val="none"/>
              </w:rPr>
            </w:pPr>
          </w:p>
        </w:tc>
      </w:tr>
      <w:tr w14:paraId="2B8D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DE099F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36</w:t>
            </w:r>
          </w:p>
        </w:tc>
        <w:tc>
          <w:tcPr>
            <w:tcW w:w="2015" w:type="pct"/>
            <w:tcBorders>
              <w:top w:val="nil"/>
              <w:left w:val="nil"/>
              <w:bottom w:val="single" w:color="000000" w:sz="8" w:space="0"/>
              <w:right w:val="single" w:color="000000" w:sz="8" w:space="0"/>
            </w:tcBorders>
            <w:noWrap w:val="0"/>
            <w:vAlign w:val="center"/>
          </w:tcPr>
          <w:p w14:paraId="4259503A">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其他应在其他一级资本中扣除的项目合计</w:t>
            </w:r>
          </w:p>
        </w:tc>
        <w:tc>
          <w:tcPr>
            <w:tcW w:w="1014" w:type="pct"/>
            <w:tcBorders>
              <w:top w:val="nil"/>
              <w:left w:val="nil"/>
              <w:bottom w:val="single" w:color="000000" w:sz="8" w:space="0"/>
              <w:right w:val="single" w:color="000000" w:sz="8" w:space="0"/>
            </w:tcBorders>
            <w:noWrap w:val="0"/>
            <w:vAlign w:val="center"/>
          </w:tcPr>
          <w:p w14:paraId="3AF6C2F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039E3F02">
            <w:pPr>
              <w:jc w:val="both"/>
              <w:rPr>
                <w:rFonts w:hint="eastAsia" w:ascii="Arial Narrow" w:hAnsi="Arial Narrow" w:eastAsia="仿宋_GB2312" w:cs="宋体"/>
                <w:i w:val="0"/>
                <w:iCs w:val="0"/>
                <w:color w:val="000000"/>
                <w:sz w:val="21"/>
                <w:szCs w:val="21"/>
                <w:u w:val="none"/>
              </w:rPr>
            </w:pPr>
          </w:p>
        </w:tc>
      </w:tr>
      <w:tr w14:paraId="030D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D5EDB9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37</w:t>
            </w:r>
          </w:p>
        </w:tc>
        <w:tc>
          <w:tcPr>
            <w:tcW w:w="2015" w:type="pct"/>
            <w:tcBorders>
              <w:top w:val="nil"/>
              <w:left w:val="nil"/>
              <w:bottom w:val="single" w:color="000000" w:sz="8" w:space="0"/>
              <w:right w:val="single" w:color="000000" w:sz="8" w:space="0"/>
            </w:tcBorders>
            <w:noWrap w:val="0"/>
            <w:vAlign w:val="center"/>
          </w:tcPr>
          <w:p w14:paraId="696881C8">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应从二级资本中扣除的未扣缺口</w:t>
            </w:r>
          </w:p>
        </w:tc>
        <w:tc>
          <w:tcPr>
            <w:tcW w:w="1014" w:type="pct"/>
            <w:tcBorders>
              <w:top w:val="nil"/>
              <w:left w:val="nil"/>
              <w:bottom w:val="single" w:color="000000" w:sz="8" w:space="0"/>
              <w:right w:val="single" w:color="000000" w:sz="8" w:space="0"/>
            </w:tcBorders>
            <w:noWrap w:val="0"/>
            <w:vAlign w:val="center"/>
          </w:tcPr>
          <w:p w14:paraId="3974552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63826CB">
            <w:pPr>
              <w:jc w:val="both"/>
              <w:rPr>
                <w:rFonts w:hint="eastAsia" w:ascii="Arial Narrow" w:hAnsi="Arial Narrow" w:eastAsia="仿宋_GB2312" w:cs="宋体"/>
                <w:i w:val="0"/>
                <w:iCs w:val="0"/>
                <w:color w:val="000000"/>
                <w:sz w:val="21"/>
                <w:szCs w:val="21"/>
                <w:u w:val="none"/>
              </w:rPr>
            </w:pPr>
          </w:p>
        </w:tc>
      </w:tr>
      <w:tr w14:paraId="55F3D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31A09F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38</w:t>
            </w:r>
          </w:p>
        </w:tc>
        <w:tc>
          <w:tcPr>
            <w:tcW w:w="2015" w:type="pct"/>
            <w:tcBorders>
              <w:top w:val="nil"/>
              <w:left w:val="nil"/>
              <w:bottom w:val="single" w:color="000000" w:sz="8" w:space="0"/>
              <w:right w:val="single" w:color="000000" w:sz="8" w:space="0"/>
            </w:tcBorders>
            <w:noWrap w:val="0"/>
            <w:vAlign w:val="center"/>
          </w:tcPr>
          <w:p w14:paraId="6AB9B50A">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其他一级资本扣除项总和</w:t>
            </w:r>
          </w:p>
        </w:tc>
        <w:tc>
          <w:tcPr>
            <w:tcW w:w="1014" w:type="pct"/>
            <w:tcBorders>
              <w:top w:val="nil"/>
              <w:left w:val="nil"/>
              <w:bottom w:val="single" w:color="000000" w:sz="8" w:space="0"/>
              <w:right w:val="single" w:color="000000" w:sz="8" w:space="0"/>
            </w:tcBorders>
            <w:noWrap w:val="0"/>
            <w:vAlign w:val="center"/>
          </w:tcPr>
          <w:p w14:paraId="4D9C5CC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585CACF0">
            <w:pPr>
              <w:jc w:val="both"/>
              <w:rPr>
                <w:rFonts w:hint="eastAsia" w:ascii="Arial Narrow" w:hAnsi="Arial Narrow" w:eastAsia="仿宋_GB2312" w:cs="宋体"/>
                <w:i w:val="0"/>
                <w:iCs w:val="0"/>
                <w:color w:val="000000"/>
                <w:sz w:val="21"/>
                <w:szCs w:val="21"/>
                <w:u w:val="none"/>
              </w:rPr>
            </w:pPr>
          </w:p>
        </w:tc>
      </w:tr>
      <w:tr w14:paraId="5FA3A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3DFFDA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39</w:t>
            </w:r>
          </w:p>
        </w:tc>
        <w:tc>
          <w:tcPr>
            <w:tcW w:w="2015" w:type="pct"/>
            <w:tcBorders>
              <w:top w:val="nil"/>
              <w:left w:val="nil"/>
              <w:bottom w:val="single" w:color="000000" w:sz="8" w:space="0"/>
              <w:right w:val="single" w:color="000000" w:sz="8" w:space="0"/>
            </w:tcBorders>
            <w:noWrap w:val="0"/>
            <w:vAlign w:val="center"/>
          </w:tcPr>
          <w:p w14:paraId="6A598598">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其他一级资本净额</w:t>
            </w:r>
          </w:p>
        </w:tc>
        <w:tc>
          <w:tcPr>
            <w:tcW w:w="1014" w:type="pct"/>
            <w:tcBorders>
              <w:top w:val="nil"/>
              <w:left w:val="nil"/>
              <w:bottom w:val="single" w:color="000000" w:sz="8" w:space="0"/>
              <w:right w:val="single" w:color="000000" w:sz="8" w:space="0"/>
            </w:tcBorders>
            <w:noWrap w:val="0"/>
            <w:vAlign w:val="center"/>
          </w:tcPr>
          <w:p w14:paraId="1D25626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325.75 </w:t>
            </w:r>
          </w:p>
        </w:tc>
        <w:tc>
          <w:tcPr>
            <w:tcW w:w="1253" w:type="pct"/>
            <w:tcBorders>
              <w:top w:val="nil"/>
              <w:left w:val="nil"/>
              <w:bottom w:val="single" w:color="000000" w:sz="8" w:space="0"/>
              <w:right w:val="single" w:color="000000" w:sz="8" w:space="0"/>
            </w:tcBorders>
            <w:noWrap w:val="0"/>
            <w:vAlign w:val="center"/>
          </w:tcPr>
          <w:p w14:paraId="0BBF04DE">
            <w:pPr>
              <w:jc w:val="both"/>
              <w:rPr>
                <w:rFonts w:hint="eastAsia" w:ascii="Arial Narrow" w:hAnsi="Arial Narrow" w:eastAsia="仿宋_GB2312" w:cs="宋体"/>
                <w:i w:val="0"/>
                <w:iCs w:val="0"/>
                <w:color w:val="000000"/>
                <w:sz w:val="21"/>
                <w:szCs w:val="21"/>
                <w:u w:val="none"/>
              </w:rPr>
            </w:pPr>
          </w:p>
        </w:tc>
      </w:tr>
      <w:tr w14:paraId="7509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DFC63C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40</w:t>
            </w:r>
          </w:p>
        </w:tc>
        <w:tc>
          <w:tcPr>
            <w:tcW w:w="2015" w:type="pct"/>
            <w:tcBorders>
              <w:top w:val="nil"/>
              <w:left w:val="nil"/>
              <w:bottom w:val="single" w:color="000000" w:sz="8" w:space="0"/>
              <w:right w:val="single" w:color="000000" w:sz="8" w:space="0"/>
            </w:tcBorders>
            <w:noWrap w:val="0"/>
            <w:vAlign w:val="center"/>
          </w:tcPr>
          <w:p w14:paraId="5FDA9628">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一级资本净额</w:t>
            </w:r>
          </w:p>
        </w:tc>
        <w:tc>
          <w:tcPr>
            <w:tcW w:w="1014" w:type="pct"/>
            <w:tcBorders>
              <w:top w:val="nil"/>
              <w:left w:val="nil"/>
              <w:bottom w:val="single" w:color="000000" w:sz="8" w:space="0"/>
              <w:right w:val="single" w:color="000000" w:sz="8" w:space="0"/>
            </w:tcBorders>
            <w:noWrap w:val="0"/>
            <w:vAlign w:val="center"/>
          </w:tcPr>
          <w:p w14:paraId="030BA3B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2,016,231.97 </w:t>
            </w:r>
          </w:p>
        </w:tc>
        <w:tc>
          <w:tcPr>
            <w:tcW w:w="1253" w:type="pct"/>
            <w:tcBorders>
              <w:top w:val="nil"/>
              <w:left w:val="nil"/>
              <w:bottom w:val="single" w:color="000000" w:sz="8" w:space="0"/>
              <w:right w:val="single" w:color="000000" w:sz="8" w:space="0"/>
            </w:tcBorders>
            <w:noWrap w:val="0"/>
            <w:vAlign w:val="center"/>
          </w:tcPr>
          <w:p w14:paraId="0B4E1666">
            <w:pPr>
              <w:jc w:val="both"/>
              <w:rPr>
                <w:rFonts w:hint="eastAsia" w:ascii="Arial Narrow" w:hAnsi="Arial Narrow" w:eastAsia="仿宋_GB2312" w:cs="宋体"/>
                <w:i w:val="0"/>
                <w:iCs w:val="0"/>
                <w:color w:val="000000"/>
                <w:sz w:val="21"/>
                <w:szCs w:val="21"/>
                <w:u w:val="none"/>
              </w:rPr>
            </w:pPr>
          </w:p>
        </w:tc>
      </w:tr>
      <w:tr w14:paraId="3355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3E70E6AB">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二级资本</w:t>
            </w:r>
          </w:p>
        </w:tc>
      </w:tr>
      <w:tr w14:paraId="704F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F9CB44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41</w:t>
            </w:r>
          </w:p>
        </w:tc>
        <w:tc>
          <w:tcPr>
            <w:tcW w:w="2015" w:type="pct"/>
            <w:tcBorders>
              <w:top w:val="single" w:color="000000" w:sz="8" w:space="0"/>
              <w:left w:val="nil"/>
              <w:bottom w:val="single" w:color="000000" w:sz="8" w:space="0"/>
              <w:right w:val="single" w:color="000000" w:sz="8" w:space="0"/>
            </w:tcBorders>
            <w:noWrap w:val="0"/>
            <w:vAlign w:val="center"/>
          </w:tcPr>
          <w:p w14:paraId="267FBD00">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二级资本工具及其溢价</w:t>
            </w:r>
          </w:p>
        </w:tc>
        <w:tc>
          <w:tcPr>
            <w:tcW w:w="1014" w:type="pct"/>
            <w:tcBorders>
              <w:top w:val="single" w:color="000000" w:sz="8" w:space="0"/>
              <w:left w:val="nil"/>
              <w:bottom w:val="single" w:color="000000" w:sz="8" w:space="0"/>
              <w:right w:val="single" w:color="000000" w:sz="8" w:space="0"/>
            </w:tcBorders>
            <w:noWrap w:val="0"/>
            <w:vAlign w:val="center"/>
          </w:tcPr>
          <w:p w14:paraId="77B6DF1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single" w:color="000000" w:sz="8" w:space="0"/>
              <w:left w:val="nil"/>
              <w:bottom w:val="single" w:color="000000" w:sz="8" w:space="0"/>
              <w:right w:val="single" w:color="000000" w:sz="8" w:space="0"/>
            </w:tcBorders>
            <w:noWrap w:val="0"/>
            <w:vAlign w:val="center"/>
          </w:tcPr>
          <w:p w14:paraId="2245925A">
            <w:pPr>
              <w:jc w:val="both"/>
              <w:rPr>
                <w:rFonts w:hint="eastAsia" w:ascii="Arial Narrow" w:hAnsi="Arial Narrow" w:eastAsia="仿宋_GB2312" w:cs="宋体"/>
                <w:i w:val="0"/>
                <w:iCs w:val="0"/>
                <w:color w:val="000000"/>
                <w:sz w:val="21"/>
                <w:szCs w:val="21"/>
                <w:u w:val="none"/>
              </w:rPr>
            </w:pPr>
          </w:p>
        </w:tc>
      </w:tr>
      <w:tr w14:paraId="531E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EF6120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42</w:t>
            </w:r>
          </w:p>
        </w:tc>
        <w:tc>
          <w:tcPr>
            <w:tcW w:w="2015" w:type="pct"/>
            <w:tcBorders>
              <w:top w:val="nil"/>
              <w:left w:val="nil"/>
              <w:bottom w:val="single" w:color="000000" w:sz="8" w:space="0"/>
              <w:right w:val="single" w:color="000000" w:sz="8" w:space="0"/>
            </w:tcBorders>
            <w:noWrap w:val="0"/>
            <w:vAlign w:val="center"/>
          </w:tcPr>
          <w:p w14:paraId="75C49719">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少数股东资本可计入部分</w:t>
            </w:r>
          </w:p>
        </w:tc>
        <w:tc>
          <w:tcPr>
            <w:tcW w:w="1014" w:type="pct"/>
            <w:tcBorders>
              <w:top w:val="nil"/>
              <w:left w:val="nil"/>
              <w:bottom w:val="single" w:color="000000" w:sz="8" w:space="0"/>
              <w:right w:val="single" w:color="000000" w:sz="8" w:space="0"/>
            </w:tcBorders>
            <w:noWrap w:val="0"/>
            <w:vAlign w:val="center"/>
          </w:tcPr>
          <w:p w14:paraId="74EF63D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651.49 </w:t>
            </w:r>
          </w:p>
        </w:tc>
        <w:tc>
          <w:tcPr>
            <w:tcW w:w="1253" w:type="pct"/>
            <w:tcBorders>
              <w:top w:val="nil"/>
              <w:left w:val="nil"/>
              <w:bottom w:val="single" w:color="000000" w:sz="8" w:space="0"/>
              <w:right w:val="single" w:color="000000" w:sz="8" w:space="0"/>
            </w:tcBorders>
            <w:noWrap w:val="0"/>
            <w:vAlign w:val="center"/>
          </w:tcPr>
          <w:p w14:paraId="17911282">
            <w:pPr>
              <w:jc w:val="both"/>
              <w:rPr>
                <w:rFonts w:hint="eastAsia" w:ascii="Arial Narrow" w:hAnsi="Arial Narrow" w:eastAsia="仿宋_GB2312" w:cs="宋体"/>
                <w:i w:val="0"/>
                <w:iCs w:val="0"/>
                <w:color w:val="000000"/>
                <w:sz w:val="21"/>
                <w:szCs w:val="21"/>
                <w:u w:val="none"/>
              </w:rPr>
            </w:pPr>
          </w:p>
        </w:tc>
      </w:tr>
      <w:tr w14:paraId="266B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6EFBD1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43</w:t>
            </w:r>
          </w:p>
        </w:tc>
        <w:tc>
          <w:tcPr>
            <w:tcW w:w="2015" w:type="pct"/>
            <w:tcBorders>
              <w:top w:val="nil"/>
              <w:left w:val="nil"/>
              <w:bottom w:val="single" w:color="000000" w:sz="8" w:space="0"/>
              <w:right w:val="single" w:color="000000" w:sz="8" w:space="0"/>
            </w:tcBorders>
            <w:noWrap w:val="0"/>
            <w:vAlign w:val="center"/>
          </w:tcPr>
          <w:p w14:paraId="027BA732">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超额损失准备可计入部分</w:t>
            </w:r>
          </w:p>
        </w:tc>
        <w:tc>
          <w:tcPr>
            <w:tcW w:w="1014" w:type="pct"/>
            <w:tcBorders>
              <w:top w:val="nil"/>
              <w:left w:val="nil"/>
              <w:bottom w:val="single" w:color="000000" w:sz="8" w:space="0"/>
              <w:right w:val="single" w:color="000000" w:sz="8" w:space="0"/>
            </w:tcBorders>
            <w:noWrap w:val="0"/>
            <w:vAlign w:val="center"/>
          </w:tcPr>
          <w:p w14:paraId="38821EC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172,454.27 </w:t>
            </w:r>
          </w:p>
        </w:tc>
        <w:tc>
          <w:tcPr>
            <w:tcW w:w="1253" w:type="pct"/>
            <w:tcBorders>
              <w:top w:val="nil"/>
              <w:left w:val="nil"/>
              <w:bottom w:val="single" w:color="000000" w:sz="8" w:space="0"/>
              <w:right w:val="single" w:color="000000" w:sz="8" w:space="0"/>
            </w:tcBorders>
            <w:noWrap w:val="0"/>
            <w:vAlign w:val="center"/>
          </w:tcPr>
          <w:p w14:paraId="7F76D1B2">
            <w:pPr>
              <w:jc w:val="both"/>
              <w:rPr>
                <w:rFonts w:hint="eastAsia" w:ascii="Arial Narrow" w:hAnsi="Arial Narrow" w:eastAsia="仿宋_GB2312" w:cs="宋体"/>
                <w:i w:val="0"/>
                <w:iCs w:val="0"/>
                <w:color w:val="000000"/>
                <w:sz w:val="21"/>
                <w:szCs w:val="21"/>
                <w:u w:val="none"/>
              </w:rPr>
            </w:pPr>
          </w:p>
        </w:tc>
      </w:tr>
      <w:tr w14:paraId="35E09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C59854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44</w:t>
            </w:r>
          </w:p>
        </w:tc>
        <w:tc>
          <w:tcPr>
            <w:tcW w:w="2015" w:type="pct"/>
            <w:tcBorders>
              <w:top w:val="nil"/>
              <w:left w:val="nil"/>
              <w:bottom w:val="single" w:color="000000" w:sz="8" w:space="0"/>
              <w:right w:val="single" w:color="000000" w:sz="8" w:space="0"/>
            </w:tcBorders>
            <w:noWrap w:val="0"/>
            <w:vAlign w:val="center"/>
          </w:tcPr>
          <w:p w14:paraId="03E58B5B">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扣除前的二级资本</w:t>
            </w:r>
          </w:p>
        </w:tc>
        <w:tc>
          <w:tcPr>
            <w:tcW w:w="1014" w:type="pct"/>
            <w:tcBorders>
              <w:top w:val="nil"/>
              <w:left w:val="nil"/>
              <w:bottom w:val="single" w:color="000000" w:sz="8" w:space="0"/>
              <w:right w:val="single" w:color="000000" w:sz="8" w:space="0"/>
            </w:tcBorders>
            <w:noWrap w:val="0"/>
            <w:vAlign w:val="center"/>
          </w:tcPr>
          <w:p w14:paraId="45AACA9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173,105.76 </w:t>
            </w:r>
          </w:p>
        </w:tc>
        <w:tc>
          <w:tcPr>
            <w:tcW w:w="1253" w:type="pct"/>
            <w:tcBorders>
              <w:top w:val="nil"/>
              <w:left w:val="nil"/>
              <w:bottom w:val="single" w:color="000000" w:sz="8" w:space="0"/>
              <w:right w:val="single" w:color="000000" w:sz="8" w:space="0"/>
            </w:tcBorders>
            <w:noWrap w:val="0"/>
            <w:vAlign w:val="center"/>
          </w:tcPr>
          <w:p w14:paraId="4E0B48FF">
            <w:pPr>
              <w:jc w:val="both"/>
              <w:rPr>
                <w:rFonts w:hint="eastAsia" w:ascii="Arial Narrow" w:hAnsi="Arial Narrow" w:eastAsia="仿宋_GB2312" w:cs="宋体"/>
                <w:i w:val="0"/>
                <w:iCs w:val="0"/>
                <w:color w:val="000000"/>
                <w:sz w:val="21"/>
                <w:szCs w:val="21"/>
                <w:u w:val="none"/>
              </w:rPr>
            </w:pPr>
          </w:p>
        </w:tc>
      </w:tr>
      <w:tr w14:paraId="194E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6F2A09CC">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二级资本：扣除项</w:t>
            </w:r>
          </w:p>
        </w:tc>
      </w:tr>
      <w:tr w14:paraId="6B4B5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A841A2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45</w:t>
            </w:r>
          </w:p>
        </w:tc>
        <w:tc>
          <w:tcPr>
            <w:tcW w:w="2015" w:type="pct"/>
            <w:tcBorders>
              <w:top w:val="single" w:color="000000" w:sz="8" w:space="0"/>
              <w:left w:val="nil"/>
              <w:bottom w:val="single" w:color="000000" w:sz="8" w:space="0"/>
              <w:right w:val="single" w:color="000000" w:sz="8" w:space="0"/>
            </w:tcBorders>
            <w:noWrap w:val="0"/>
            <w:vAlign w:val="center"/>
          </w:tcPr>
          <w:p w14:paraId="6E5D585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直接或间接持有的本银行的二级资本</w:t>
            </w:r>
          </w:p>
        </w:tc>
        <w:tc>
          <w:tcPr>
            <w:tcW w:w="1014" w:type="pct"/>
            <w:tcBorders>
              <w:top w:val="single" w:color="000000" w:sz="8" w:space="0"/>
              <w:left w:val="nil"/>
              <w:bottom w:val="single" w:color="000000" w:sz="8" w:space="0"/>
              <w:right w:val="single" w:color="000000" w:sz="8" w:space="0"/>
            </w:tcBorders>
            <w:noWrap w:val="0"/>
            <w:vAlign w:val="center"/>
          </w:tcPr>
          <w:p w14:paraId="1742790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single" w:color="000000" w:sz="8" w:space="0"/>
              <w:left w:val="nil"/>
              <w:bottom w:val="single" w:color="000000" w:sz="8" w:space="0"/>
              <w:right w:val="single" w:color="000000" w:sz="8" w:space="0"/>
            </w:tcBorders>
            <w:noWrap w:val="0"/>
            <w:vAlign w:val="center"/>
          </w:tcPr>
          <w:p w14:paraId="1782556A">
            <w:pPr>
              <w:jc w:val="both"/>
              <w:rPr>
                <w:rFonts w:hint="eastAsia" w:ascii="Arial Narrow" w:hAnsi="Arial Narrow" w:eastAsia="仿宋_GB2312" w:cs="宋体"/>
                <w:i w:val="0"/>
                <w:iCs w:val="0"/>
                <w:color w:val="000000"/>
                <w:sz w:val="21"/>
                <w:szCs w:val="21"/>
                <w:u w:val="none"/>
              </w:rPr>
            </w:pPr>
          </w:p>
        </w:tc>
      </w:tr>
      <w:tr w14:paraId="6203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171EC5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46</w:t>
            </w:r>
          </w:p>
        </w:tc>
        <w:tc>
          <w:tcPr>
            <w:tcW w:w="2015" w:type="pct"/>
            <w:tcBorders>
              <w:top w:val="nil"/>
              <w:left w:val="nil"/>
              <w:bottom w:val="single" w:color="000000" w:sz="8" w:space="0"/>
              <w:right w:val="single" w:color="000000" w:sz="8" w:space="0"/>
            </w:tcBorders>
            <w:noWrap w:val="0"/>
            <w:vAlign w:val="center"/>
          </w:tcPr>
          <w:p w14:paraId="74B5D9DC">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银行间或银行与其他金融机构间通过协议相互持有的其他一级资本</w:t>
            </w:r>
          </w:p>
        </w:tc>
        <w:tc>
          <w:tcPr>
            <w:tcW w:w="1014" w:type="pct"/>
            <w:tcBorders>
              <w:top w:val="nil"/>
              <w:left w:val="nil"/>
              <w:bottom w:val="single" w:color="000000" w:sz="8" w:space="0"/>
              <w:right w:val="single" w:color="000000" w:sz="8" w:space="0"/>
            </w:tcBorders>
            <w:noWrap w:val="0"/>
            <w:vAlign w:val="center"/>
          </w:tcPr>
          <w:p w14:paraId="2D7D0F2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34A9AC3">
            <w:pPr>
              <w:jc w:val="both"/>
              <w:rPr>
                <w:rFonts w:hint="eastAsia" w:ascii="Arial Narrow" w:hAnsi="Arial Narrow" w:eastAsia="仿宋_GB2312" w:cs="宋体"/>
                <w:i w:val="0"/>
                <w:iCs w:val="0"/>
                <w:color w:val="000000"/>
                <w:sz w:val="21"/>
                <w:szCs w:val="21"/>
                <w:u w:val="none"/>
              </w:rPr>
            </w:pPr>
          </w:p>
        </w:tc>
      </w:tr>
      <w:tr w14:paraId="483F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E25E76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47</w:t>
            </w:r>
          </w:p>
        </w:tc>
        <w:tc>
          <w:tcPr>
            <w:tcW w:w="2015" w:type="pct"/>
            <w:tcBorders>
              <w:top w:val="nil"/>
              <w:left w:val="nil"/>
              <w:bottom w:val="single" w:color="000000" w:sz="8" w:space="0"/>
              <w:right w:val="single" w:color="000000" w:sz="8" w:space="0"/>
            </w:tcBorders>
            <w:noWrap w:val="0"/>
            <w:vAlign w:val="center"/>
          </w:tcPr>
          <w:p w14:paraId="6EE355B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对未并表金融机构小额少数资本投资中的二级资本中应扣除金额</w:t>
            </w:r>
          </w:p>
        </w:tc>
        <w:tc>
          <w:tcPr>
            <w:tcW w:w="1014" w:type="pct"/>
            <w:tcBorders>
              <w:top w:val="nil"/>
              <w:left w:val="nil"/>
              <w:bottom w:val="single" w:color="000000" w:sz="8" w:space="0"/>
              <w:right w:val="single" w:color="000000" w:sz="8" w:space="0"/>
            </w:tcBorders>
            <w:noWrap w:val="0"/>
            <w:vAlign w:val="center"/>
          </w:tcPr>
          <w:p w14:paraId="2B11D6C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69676830">
            <w:pPr>
              <w:jc w:val="both"/>
              <w:rPr>
                <w:rFonts w:hint="eastAsia" w:ascii="Arial Narrow" w:hAnsi="Arial Narrow" w:eastAsia="仿宋_GB2312" w:cs="宋体"/>
                <w:i w:val="0"/>
                <w:iCs w:val="0"/>
                <w:color w:val="000000"/>
                <w:sz w:val="21"/>
                <w:szCs w:val="21"/>
                <w:u w:val="none"/>
              </w:rPr>
            </w:pPr>
          </w:p>
        </w:tc>
      </w:tr>
      <w:tr w14:paraId="2E37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2DF618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48</w:t>
            </w:r>
          </w:p>
        </w:tc>
        <w:tc>
          <w:tcPr>
            <w:tcW w:w="2015" w:type="pct"/>
            <w:tcBorders>
              <w:top w:val="nil"/>
              <w:left w:val="nil"/>
              <w:bottom w:val="single" w:color="000000" w:sz="8" w:space="0"/>
              <w:right w:val="single" w:color="000000" w:sz="8" w:space="0"/>
            </w:tcBorders>
            <w:noWrap w:val="0"/>
            <w:vAlign w:val="center"/>
          </w:tcPr>
          <w:p w14:paraId="65BFD233">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对未并表金融机构大额少数资本投资中的二级资本</w:t>
            </w:r>
          </w:p>
        </w:tc>
        <w:tc>
          <w:tcPr>
            <w:tcW w:w="1014" w:type="pct"/>
            <w:tcBorders>
              <w:top w:val="nil"/>
              <w:left w:val="nil"/>
              <w:bottom w:val="single" w:color="000000" w:sz="8" w:space="0"/>
              <w:right w:val="single" w:color="000000" w:sz="8" w:space="0"/>
            </w:tcBorders>
            <w:noWrap w:val="0"/>
            <w:vAlign w:val="center"/>
          </w:tcPr>
          <w:p w14:paraId="68D73B8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3C0DACE7">
            <w:pPr>
              <w:jc w:val="both"/>
              <w:rPr>
                <w:rFonts w:hint="eastAsia" w:ascii="Arial Narrow" w:hAnsi="Arial Narrow" w:eastAsia="仿宋_GB2312" w:cs="宋体"/>
                <w:i w:val="0"/>
                <w:iCs w:val="0"/>
                <w:color w:val="000000"/>
                <w:sz w:val="21"/>
                <w:szCs w:val="21"/>
                <w:u w:val="none"/>
              </w:rPr>
            </w:pPr>
          </w:p>
        </w:tc>
      </w:tr>
      <w:tr w14:paraId="2FE75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B154E1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49</w:t>
            </w:r>
          </w:p>
        </w:tc>
        <w:tc>
          <w:tcPr>
            <w:tcW w:w="2015" w:type="pct"/>
            <w:tcBorders>
              <w:top w:val="nil"/>
              <w:left w:val="nil"/>
              <w:bottom w:val="single" w:color="000000" w:sz="8" w:space="0"/>
              <w:right w:val="single" w:color="000000" w:sz="8" w:space="0"/>
            </w:tcBorders>
            <w:noWrap w:val="0"/>
            <w:vAlign w:val="center"/>
          </w:tcPr>
          <w:p w14:paraId="01664801">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其他应在二级资本中扣除的项目合计</w:t>
            </w:r>
          </w:p>
        </w:tc>
        <w:tc>
          <w:tcPr>
            <w:tcW w:w="1014" w:type="pct"/>
            <w:tcBorders>
              <w:top w:val="nil"/>
              <w:left w:val="nil"/>
              <w:bottom w:val="single" w:color="000000" w:sz="8" w:space="0"/>
              <w:right w:val="single" w:color="000000" w:sz="8" w:space="0"/>
            </w:tcBorders>
            <w:noWrap w:val="0"/>
            <w:vAlign w:val="center"/>
          </w:tcPr>
          <w:p w14:paraId="289DA15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E4A2E47">
            <w:pPr>
              <w:jc w:val="both"/>
              <w:rPr>
                <w:rFonts w:hint="eastAsia" w:ascii="Arial Narrow" w:hAnsi="Arial Narrow" w:eastAsia="仿宋_GB2312" w:cs="宋体"/>
                <w:i w:val="0"/>
                <w:iCs w:val="0"/>
                <w:color w:val="000000"/>
                <w:sz w:val="21"/>
                <w:szCs w:val="21"/>
                <w:u w:val="none"/>
              </w:rPr>
            </w:pPr>
          </w:p>
        </w:tc>
      </w:tr>
      <w:tr w14:paraId="6B60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2582F3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50</w:t>
            </w:r>
          </w:p>
        </w:tc>
        <w:tc>
          <w:tcPr>
            <w:tcW w:w="2015" w:type="pct"/>
            <w:tcBorders>
              <w:top w:val="nil"/>
              <w:left w:val="nil"/>
              <w:bottom w:val="single" w:color="000000" w:sz="8" w:space="0"/>
              <w:right w:val="single" w:color="000000" w:sz="8" w:space="0"/>
            </w:tcBorders>
            <w:noWrap w:val="0"/>
            <w:vAlign w:val="center"/>
          </w:tcPr>
          <w:p w14:paraId="71BD179A">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二级资本扣除项总和</w:t>
            </w:r>
          </w:p>
        </w:tc>
        <w:tc>
          <w:tcPr>
            <w:tcW w:w="1014" w:type="pct"/>
            <w:tcBorders>
              <w:top w:val="nil"/>
              <w:left w:val="nil"/>
              <w:bottom w:val="single" w:color="000000" w:sz="8" w:space="0"/>
              <w:right w:val="single" w:color="000000" w:sz="8" w:space="0"/>
            </w:tcBorders>
            <w:noWrap w:val="0"/>
            <w:vAlign w:val="center"/>
          </w:tcPr>
          <w:p w14:paraId="64ED773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4D347B52">
            <w:pPr>
              <w:jc w:val="both"/>
              <w:rPr>
                <w:rFonts w:hint="eastAsia" w:ascii="Arial Narrow" w:hAnsi="Arial Narrow" w:eastAsia="仿宋_GB2312" w:cs="宋体"/>
                <w:i w:val="0"/>
                <w:iCs w:val="0"/>
                <w:color w:val="000000"/>
                <w:sz w:val="21"/>
                <w:szCs w:val="21"/>
                <w:u w:val="none"/>
              </w:rPr>
            </w:pPr>
          </w:p>
        </w:tc>
      </w:tr>
      <w:tr w14:paraId="3C30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0AE35D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51</w:t>
            </w:r>
          </w:p>
        </w:tc>
        <w:tc>
          <w:tcPr>
            <w:tcW w:w="2015" w:type="pct"/>
            <w:tcBorders>
              <w:top w:val="nil"/>
              <w:left w:val="nil"/>
              <w:bottom w:val="single" w:color="000000" w:sz="8" w:space="0"/>
              <w:right w:val="single" w:color="000000" w:sz="8" w:space="0"/>
            </w:tcBorders>
            <w:noWrap w:val="0"/>
            <w:vAlign w:val="center"/>
          </w:tcPr>
          <w:p w14:paraId="534CEDEB">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二级资本净额</w:t>
            </w:r>
          </w:p>
        </w:tc>
        <w:tc>
          <w:tcPr>
            <w:tcW w:w="1014" w:type="pct"/>
            <w:tcBorders>
              <w:top w:val="nil"/>
              <w:left w:val="nil"/>
              <w:bottom w:val="single" w:color="000000" w:sz="8" w:space="0"/>
              <w:right w:val="single" w:color="000000" w:sz="8" w:space="0"/>
            </w:tcBorders>
            <w:noWrap w:val="0"/>
            <w:vAlign w:val="center"/>
          </w:tcPr>
          <w:p w14:paraId="6DF27AE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173,105.76 </w:t>
            </w:r>
          </w:p>
        </w:tc>
        <w:tc>
          <w:tcPr>
            <w:tcW w:w="1253" w:type="pct"/>
            <w:tcBorders>
              <w:top w:val="nil"/>
              <w:left w:val="nil"/>
              <w:bottom w:val="single" w:color="000000" w:sz="8" w:space="0"/>
              <w:right w:val="single" w:color="000000" w:sz="8" w:space="0"/>
            </w:tcBorders>
            <w:noWrap w:val="0"/>
            <w:vAlign w:val="center"/>
          </w:tcPr>
          <w:p w14:paraId="4C20A921">
            <w:pPr>
              <w:jc w:val="both"/>
              <w:rPr>
                <w:rFonts w:hint="eastAsia" w:ascii="Arial Narrow" w:hAnsi="Arial Narrow" w:eastAsia="仿宋_GB2312" w:cs="宋体"/>
                <w:i w:val="0"/>
                <w:iCs w:val="0"/>
                <w:color w:val="000000"/>
                <w:sz w:val="21"/>
                <w:szCs w:val="21"/>
                <w:u w:val="none"/>
              </w:rPr>
            </w:pPr>
          </w:p>
        </w:tc>
      </w:tr>
      <w:tr w14:paraId="5627D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BE1476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52</w:t>
            </w:r>
          </w:p>
        </w:tc>
        <w:tc>
          <w:tcPr>
            <w:tcW w:w="2015" w:type="pct"/>
            <w:tcBorders>
              <w:top w:val="nil"/>
              <w:left w:val="nil"/>
              <w:bottom w:val="single" w:color="000000" w:sz="8" w:space="0"/>
              <w:right w:val="single" w:color="000000" w:sz="8" w:space="0"/>
            </w:tcBorders>
            <w:noWrap w:val="0"/>
            <w:vAlign w:val="center"/>
          </w:tcPr>
          <w:p w14:paraId="5EED7057">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总资本净额</w:t>
            </w:r>
          </w:p>
        </w:tc>
        <w:tc>
          <w:tcPr>
            <w:tcW w:w="1014" w:type="pct"/>
            <w:tcBorders>
              <w:top w:val="nil"/>
              <w:left w:val="nil"/>
              <w:bottom w:val="single" w:color="000000" w:sz="8" w:space="0"/>
              <w:right w:val="single" w:color="000000" w:sz="8" w:space="0"/>
            </w:tcBorders>
            <w:noWrap w:val="0"/>
            <w:vAlign w:val="center"/>
          </w:tcPr>
          <w:p w14:paraId="6CCE571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2,189,337.73 </w:t>
            </w:r>
          </w:p>
        </w:tc>
        <w:tc>
          <w:tcPr>
            <w:tcW w:w="1253" w:type="pct"/>
            <w:tcBorders>
              <w:top w:val="nil"/>
              <w:left w:val="nil"/>
              <w:bottom w:val="single" w:color="000000" w:sz="8" w:space="0"/>
              <w:right w:val="single" w:color="000000" w:sz="8" w:space="0"/>
            </w:tcBorders>
            <w:noWrap w:val="0"/>
            <w:vAlign w:val="center"/>
          </w:tcPr>
          <w:p w14:paraId="21A936F0">
            <w:pPr>
              <w:jc w:val="both"/>
              <w:rPr>
                <w:rFonts w:hint="eastAsia" w:ascii="Arial Narrow" w:hAnsi="Arial Narrow" w:eastAsia="仿宋_GB2312" w:cs="宋体"/>
                <w:i w:val="0"/>
                <w:iCs w:val="0"/>
                <w:color w:val="000000"/>
                <w:sz w:val="21"/>
                <w:szCs w:val="21"/>
                <w:u w:val="none"/>
              </w:rPr>
            </w:pPr>
          </w:p>
        </w:tc>
      </w:tr>
      <w:tr w14:paraId="1FA8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8E950E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53</w:t>
            </w:r>
          </w:p>
        </w:tc>
        <w:tc>
          <w:tcPr>
            <w:tcW w:w="2015" w:type="pct"/>
            <w:tcBorders>
              <w:top w:val="nil"/>
              <w:left w:val="nil"/>
              <w:bottom w:val="single" w:color="000000" w:sz="8" w:space="0"/>
              <w:right w:val="single" w:color="000000" w:sz="8" w:space="0"/>
            </w:tcBorders>
            <w:noWrap w:val="0"/>
            <w:vAlign w:val="center"/>
          </w:tcPr>
          <w:p w14:paraId="13E65538">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风险加权资产</w:t>
            </w:r>
          </w:p>
        </w:tc>
        <w:tc>
          <w:tcPr>
            <w:tcW w:w="1014" w:type="pct"/>
            <w:tcBorders>
              <w:top w:val="nil"/>
              <w:left w:val="nil"/>
              <w:bottom w:val="single" w:color="000000" w:sz="8" w:space="0"/>
              <w:right w:val="single" w:color="000000" w:sz="8" w:space="0"/>
            </w:tcBorders>
            <w:noWrap w:val="0"/>
            <w:vAlign w:val="center"/>
          </w:tcPr>
          <w:p w14:paraId="6CC3754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15,398,067.37 </w:t>
            </w:r>
          </w:p>
        </w:tc>
        <w:tc>
          <w:tcPr>
            <w:tcW w:w="1253" w:type="pct"/>
            <w:tcBorders>
              <w:top w:val="nil"/>
              <w:left w:val="nil"/>
              <w:bottom w:val="single" w:color="000000" w:sz="8" w:space="0"/>
              <w:right w:val="single" w:color="000000" w:sz="8" w:space="0"/>
            </w:tcBorders>
            <w:noWrap w:val="0"/>
            <w:vAlign w:val="center"/>
          </w:tcPr>
          <w:p w14:paraId="41D67E24">
            <w:pPr>
              <w:jc w:val="both"/>
              <w:rPr>
                <w:rFonts w:hint="eastAsia" w:ascii="Arial Narrow" w:hAnsi="Arial Narrow" w:eastAsia="仿宋_GB2312" w:cs="宋体"/>
                <w:i w:val="0"/>
                <w:iCs w:val="0"/>
                <w:color w:val="000000"/>
                <w:sz w:val="21"/>
                <w:szCs w:val="21"/>
                <w:u w:val="none"/>
              </w:rPr>
            </w:pPr>
          </w:p>
        </w:tc>
      </w:tr>
      <w:tr w14:paraId="4E99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56DF7EB2">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资本充足率和其他各级资本要求</w:t>
            </w:r>
          </w:p>
        </w:tc>
      </w:tr>
      <w:tr w14:paraId="6D21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6DB015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54</w:t>
            </w:r>
          </w:p>
        </w:tc>
        <w:tc>
          <w:tcPr>
            <w:tcW w:w="2015" w:type="pct"/>
            <w:tcBorders>
              <w:top w:val="single" w:color="000000" w:sz="8" w:space="0"/>
              <w:left w:val="nil"/>
              <w:bottom w:val="single" w:color="000000" w:sz="8" w:space="0"/>
              <w:right w:val="single" w:color="000000" w:sz="8" w:space="0"/>
            </w:tcBorders>
            <w:noWrap w:val="0"/>
            <w:vAlign w:val="center"/>
          </w:tcPr>
          <w:p w14:paraId="1D74CDD5">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核心一级资本充足率（%）</w:t>
            </w:r>
          </w:p>
        </w:tc>
        <w:tc>
          <w:tcPr>
            <w:tcW w:w="1014" w:type="pct"/>
            <w:tcBorders>
              <w:top w:val="single" w:color="000000" w:sz="8" w:space="0"/>
              <w:left w:val="nil"/>
              <w:bottom w:val="single" w:color="000000" w:sz="8" w:space="0"/>
              <w:right w:val="single" w:color="000000" w:sz="8" w:space="0"/>
            </w:tcBorders>
            <w:noWrap w:val="0"/>
            <w:vAlign w:val="center"/>
          </w:tcPr>
          <w:p w14:paraId="060C5D4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13.09 </w:t>
            </w:r>
          </w:p>
        </w:tc>
        <w:tc>
          <w:tcPr>
            <w:tcW w:w="1253" w:type="pct"/>
            <w:tcBorders>
              <w:top w:val="single" w:color="000000" w:sz="8" w:space="0"/>
              <w:left w:val="nil"/>
              <w:bottom w:val="single" w:color="000000" w:sz="8" w:space="0"/>
              <w:right w:val="single" w:color="000000" w:sz="8" w:space="0"/>
            </w:tcBorders>
            <w:noWrap w:val="0"/>
            <w:vAlign w:val="center"/>
          </w:tcPr>
          <w:p w14:paraId="2DD9FD2F">
            <w:pPr>
              <w:jc w:val="both"/>
              <w:rPr>
                <w:rFonts w:hint="eastAsia" w:ascii="Arial Narrow" w:hAnsi="Arial Narrow" w:eastAsia="仿宋_GB2312" w:cs="宋体"/>
                <w:i w:val="0"/>
                <w:iCs w:val="0"/>
                <w:color w:val="000000"/>
                <w:sz w:val="21"/>
                <w:szCs w:val="21"/>
                <w:u w:val="none"/>
              </w:rPr>
            </w:pPr>
          </w:p>
        </w:tc>
      </w:tr>
      <w:tr w14:paraId="2ACC5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CCAFD1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55</w:t>
            </w:r>
          </w:p>
        </w:tc>
        <w:tc>
          <w:tcPr>
            <w:tcW w:w="2015" w:type="pct"/>
            <w:tcBorders>
              <w:top w:val="nil"/>
              <w:left w:val="nil"/>
              <w:bottom w:val="single" w:color="000000" w:sz="8" w:space="0"/>
              <w:right w:val="single" w:color="000000" w:sz="8" w:space="0"/>
            </w:tcBorders>
            <w:noWrap w:val="0"/>
            <w:vAlign w:val="center"/>
          </w:tcPr>
          <w:p w14:paraId="1E971979">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一级资本充足率（%）</w:t>
            </w:r>
          </w:p>
        </w:tc>
        <w:tc>
          <w:tcPr>
            <w:tcW w:w="1014" w:type="pct"/>
            <w:tcBorders>
              <w:top w:val="nil"/>
              <w:left w:val="nil"/>
              <w:bottom w:val="single" w:color="000000" w:sz="8" w:space="0"/>
              <w:right w:val="single" w:color="000000" w:sz="8" w:space="0"/>
            </w:tcBorders>
            <w:noWrap w:val="0"/>
            <w:vAlign w:val="center"/>
          </w:tcPr>
          <w:p w14:paraId="07392F4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13.09 </w:t>
            </w:r>
          </w:p>
        </w:tc>
        <w:tc>
          <w:tcPr>
            <w:tcW w:w="1253" w:type="pct"/>
            <w:tcBorders>
              <w:top w:val="nil"/>
              <w:left w:val="nil"/>
              <w:bottom w:val="single" w:color="000000" w:sz="8" w:space="0"/>
              <w:right w:val="single" w:color="000000" w:sz="8" w:space="0"/>
            </w:tcBorders>
            <w:noWrap w:val="0"/>
            <w:vAlign w:val="center"/>
          </w:tcPr>
          <w:p w14:paraId="685D069A">
            <w:pPr>
              <w:jc w:val="both"/>
              <w:rPr>
                <w:rFonts w:hint="eastAsia" w:ascii="Arial Narrow" w:hAnsi="Arial Narrow" w:eastAsia="仿宋_GB2312" w:cs="宋体"/>
                <w:i w:val="0"/>
                <w:iCs w:val="0"/>
                <w:color w:val="000000"/>
                <w:sz w:val="21"/>
                <w:szCs w:val="21"/>
                <w:u w:val="none"/>
              </w:rPr>
            </w:pPr>
          </w:p>
        </w:tc>
      </w:tr>
      <w:tr w14:paraId="7BFC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C4D85B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56</w:t>
            </w:r>
          </w:p>
        </w:tc>
        <w:tc>
          <w:tcPr>
            <w:tcW w:w="2015" w:type="pct"/>
            <w:tcBorders>
              <w:top w:val="nil"/>
              <w:left w:val="nil"/>
              <w:bottom w:val="single" w:color="000000" w:sz="8" w:space="0"/>
              <w:right w:val="single" w:color="000000" w:sz="8" w:space="0"/>
            </w:tcBorders>
            <w:noWrap w:val="0"/>
            <w:vAlign w:val="center"/>
          </w:tcPr>
          <w:p w14:paraId="6F28778F">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资本充足率（%）</w:t>
            </w:r>
          </w:p>
        </w:tc>
        <w:tc>
          <w:tcPr>
            <w:tcW w:w="1014" w:type="pct"/>
            <w:tcBorders>
              <w:top w:val="nil"/>
              <w:left w:val="nil"/>
              <w:bottom w:val="single" w:color="000000" w:sz="8" w:space="0"/>
              <w:right w:val="single" w:color="000000" w:sz="8" w:space="0"/>
            </w:tcBorders>
            <w:noWrap w:val="0"/>
            <w:vAlign w:val="center"/>
          </w:tcPr>
          <w:p w14:paraId="107E230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14.22 </w:t>
            </w:r>
          </w:p>
        </w:tc>
        <w:tc>
          <w:tcPr>
            <w:tcW w:w="1253" w:type="pct"/>
            <w:tcBorders>
              <w:top w:val="nil"/>
              <w:left w:val="nil"/>
              <w:bottom w:val="single" w:color="000000" w:sz="8" w:space="0"/>
              <w:right w:val="single" w:color="000000" w:sz="8" w:space="0"/>
            </w:tcBorders>
            <w:noWrap w:val="0"/>
            <w:vAlign w:val="center"/>
          </w:tcPr>
          <w:p w14:paraId="4668A334">
            <w:pPr>
              <w:jc w:val="both"/>
              <w:rPr>
                <w:rFonts w:hint="eastAsia" w:ascii="Arial Narrow" w:hAnsi="Arial Narrow" w:eastAsia="仿宋_GB2312" w:cs="宋体"/>
                <w:i w:val="0"/>
                <w:iCs w:val="0"/>
                <w:color w:val="000000"/>
                <w:sz w:val="21"/>
                <w:szCs w:val="21"/>
                <w:u w:val="none"/>
              </w:rPr>
            </w:pPr>
          </w:p>
        </w:tc>
      </w:tr>
      <w:tr w14:paraId="72DD7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35AE28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57</w:t>
            </w:r>
          </w:p>
        </w:tc>
        <w:tc>
          <w:tcPr>
            <w:tcW w:w="2015" w:type="pct"/>
            <w:tcBorders>
              <w:top w:val="nil"/>
              <w:left w:val="nil"/>
              <w:bottom w:val="single" w:color="000000" w:sz="8" w:space="0"/>
              <w:right w:val="single" w:color="000000" w:sz="8" w:space="0"/>
            </w:tcBorders>
            <w:noWrap w:val="0"/>
            <w:vAlign w:val="center"/>
          </w:tcPr>
          <w:p w14:paraId="5D1D4AB9">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其他各级资本要求（%）</w:t>
            </w:r>
          </w:p>
        </w:tc>
        <w:tc>
          <w:tcPr>
            <w:tcW w:w="1014" w:type="pct"/>
            <w:tcBorders>
              <w:top w:val="nil"/>
              <w:left w:val="nil"/>
              <w:bottom w:val="single" w:color="000000" w:sz="8" w:space="0"/>
              <w:right w:val="single" w:color="000000" w:sz="8" w:space="0"/>
            </w:tcBorders>
            <w:noWrap w:val="0"/>
            <w:vAlign w:val="center"/>
          </w:tcPr>
          <w:p w14:paraId="1AFBE35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2.50 </w:t>
            </w:r>
          </w:p>
        </w:tc>
        <w:tc>
          <w:tcPr>
            <w:tcW w:w="1253" w:type="pct"/>
            <w:tcBorders>
              <w:top w:val="nil"/>
              <w:left w:val="nil"/>
              <w:bottom w:val="single" w:color="000000" w:sz="8" w:space="0"/>
              <w:right w:val="single" w:color="000000" w:sz="8" w:space="0"/>
            </w:tcBorders>
            <w:noWrap w:val="0"/>
            <w:vAlign w:val="center"/>
          </w:tcPr>
          <w:p w14:paraId="7F173DF7">
            <w:pPr>
              <w:jc w:val="both"/>
              <w:rPr>
                <w:rFonts w:hint="eastAsia" w:ascii="Arial Narrow" w:hAnsi="Arial Narrow" w:eastAsia="仿宋_GB2312" w:cs="宋体"/>
                <w:i w:val="0"/>
                <w:iCs w:val="0"/>
                <w:color w:val="000000"/>
                <w:sz w:val="21"/>
                <w:szCs w:val="21"/>
                <w:u w:val="none"/>
              </w:rPr>
            </w:pPr>
          </w:p>
        </w:tc>
      </w:tr>
      <w:tr w14:paraId="15CC4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F8C34A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58</w:t>
            </w:r>
          </w:p>
        </w:tc>
        <w:tc>
          <w:tcPr>
            <w:tcW w:w="2015" w:type="pct"/>
            <w:tcBorders>
              <w:top w:val="nil"/>
              <w:left w:val="nil"/>
              <w:bottom w:val="single" w:color="000000" w:sz="8" w:space="0"/>
              <w:right w:val="single" w:color="000000" w:sz="8" w:space="0"/>
            </w:tcBorders>
            <w:noWrap w:val="0"/>
            <w:vAlign w:val="center"/>
          </w:tcPr>
          <w:p w14:paraId="27ED6839">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其中：储备资本要求</w:t>
            </w:r>
          </w:p>
        </w:tc>
        <w:tc>
          <w:tcPr>
            <w:tcW w:w="1014" w:type="pct"/>
            <w:tcBorders>
              <w:top w:val="nil"/>
              <w:left w:val="nil"/>
              <w:bottom w:val="single" w:color="000000" w:sz="8" w:space="0"/>
              <w:right w:val="single" w:color="000000" w:sz="8" w:space="0"/>
            </w:tcBorders>
            <w:noWrap w:val="0"/>
            <w:vAlign w:val="center"/>
          </w:tcPr>
          <w:p w14:paraId="20225D2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2.50 </w:t>
            </w:r>
          </w:p>
        </w:tc>
        <w:tc>
          <w:tcPr>
            <w:tcW w:w="1253" w:type="pct"/>
            <w:tcBorders>
              <w:top w:val="nil"/>
              <w:left w:val="nil"/>
              <w:bottom w:val="single" w:color="000000" w:sz="8" w:space="0"/>
              <w:right w:val="single" w:color="000000" w:sz="8" w:space="0"/>
            </w:tcBorders>
            <w:noWrap w:val="0"/>
            <w:vAlign w:val="center"/>
          </w:tcPr>
          <w:p w14:paraId="3F281186">
            <w:pPr>
              <w:jc w:val="both"/>
              <w:rPr>
                <w:rFonts w:hint="eastAsia" w:ascii="Arial Narrow" w:hAnsi="Arial Narrow" w:eastAsia="仿宋_GB2312" w:cs="宋体"/>
                <w:i w:val="0"/>
                <w:iCs w:val="0"/>
                <w:color w:val="000000"/>
                <w:sz w:val="21"/>
                <w:szCs w:val="21"/>
                <w:u w:val="none"/>
              </w:rPr>
            </w:pPr>
          </w:p>
        </w:tc>
      </w:tr>
      <w:tr w14:paraId="609C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3EC2FA6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59</w:t>
            </w:r>
          </w:p>
        </w:tc>
        <w:tc>
          <w:tcPr>
            <w:tcW w:w="2015" w:type="pct"/>
            <w:tcBorders>
              <w:top w:val="nil"/>
              <w:left w:val="nil"/>
              <w:bottom w:val="single" w:color="000000" w:sz="8" w:space="0"/>
              <w:right w:val="single" w:color="000000" w:sz="8" w:space="0"/>
            </w:tcBorders>
            <w:noWrap w:val="0"/>
            <w:vAlign w:val="center"/>
          </w:tcPr>
          <w:p w14:paraId="7C52B7A5">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其中：逆周期资本要求</w:t>
            </w:r>
          </w:p>
        </w:tc>
        <w:tc>
          <w:tcPr>
            <w:tcW w:w="1014" w:type="pct"/>
            <w:tcBorders>
              <w:top w:val="nil"/>
              <w:left w:val="nil"/>
              <w:bottom w:val="single" w:color="000000" w:sz="8" w:space="0"/>
              <w:right w:val="single" w:color="000000" w:sz="8" w:space="0"/>
            </w:tcBorders>
            <w:noWrap w:val="0"/>
            <w:vAlign w:val="center"/>
          </w:tcPr>
          <w:p w14:paraId="4E78DCA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04DCE757">
            <w:pPr>
              <w:jc w:val="both"/>
              <w:rPr>
                <w:rFonts w:hint="eastAsia" w:ascii="Arial Narrow" w:hAnsi="Arial Narrow" w:eastAsia="仿宋_GB2312" w:cs="宋体"/>
                <w:i w:val="0"/>
                <w:iCs w:val="0"/>
                <w:color w:val="000000"/>
                <w:sz w:val="21"/>
                <w:szCs w:val="21"/>
                <w:u w:val="none"/>
              </w:rPr>
            </w:pPr>
          </w:p>
        </w:tc>
      </w:tr>
      <w:tr w14:paraId="08E2A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6A1D0F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60</w:t>
            </w:r>
          </w:p>
        </w:tc>
        <w:tc>
          <w:tcPr>
            <w:tcW w:w="2015" w:type="pct"/>
            <w:tcBorders>
              <w:top w:val="nil"/>
              <w:left w:val="nil"/>
              <w:bottom w:val="single" w:color="000000" w:sz="8" w:space="0"/>
              <w:right w:val="single" w:color="000000" w:sz="8" w:space="0"/>
            </w:tcBorders>
            <w:noWrap w:val="0"/>
            <w:vAlign w:val="center"/>
          </w:tcPr>
          <w:p w14:paraId="08873F67">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其中：全球系统重要性银行或国内系统重要性银行附加资本要求</w:t>
            </w:r>
          </w:p>
        </w:tc>
        <w:tc>
          <w:tcPr>
            <w:tcW w:w="1014" w:type="pct"/>
            <w:tcBorders>
              <w:top w:val="nil"/>
              <w:left w:val="nil"/>
              <w:bottom w:val="single" w:color="000000" w:sz="8" w:space="0"/>
              <w:right w:val="single" w:color="000000" w:sz="8" w:space="0"/>
            </w:tcBorders>
            <w:noWrap w:val="0"/>
            <w:vAlign w:val="center"/>
          </w:tcPr>
          <w:p w14:paraId="43EE5C7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1253" w:type="pct"/>
            <w:tcBorders>
              <w:top w:val="nil"/>
              <w:left w:val="nil"/>
              <w:bottom w:val="single" w:color="000000" w:sz="8" w:space="0"/>
              <w:right w:val="single" w:color="000000" w:sz="8" w:space="0"/>
            </w:tcBorders>
            <w:noWrap w:val="0"/>
            <w:vAlign w:val="center"/>
          </w:tcPr>
          <w:p w14:paraId="750288B7">
            <w:pPr>
              <w:jc w:val="both"/>
              <w:rPr>
                <w:rFonts w:hint="eastAsia" w:ascii="Arial Narrow" w:hAnsi="Arial Narrow" w:eastAsia="仿宋_GB2312" w:cs="宋体"/>
                <w:i w:val="0"/>
                <w:iCs w:val="0"/>
                <w:color w:val="000000"/>
                <w:sz w:val="21"/>
                <w:szCs w:val="21"/>
                <w:u w:val="none"/>
              </w:rPr>
            </w:pPr>
          </w:p>
        </w:tc>
      </w:tr>
      <w:tr w14:paraId="135BA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79015AC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61</w:t>
            </w:r>
          </w:p>
        </w:tc>
        <w:tc>
          <w:tcPr>
            <w:tcW w:w="2015" w:type="pct"/>
            <w:tcBorders>
              <w:top w:val="nil"/>
              <w:left w:val="nil"/>
              <w:bottom w:val="single" w:color="000000" w:sz="8" w:space="0"/>
              <w:right w:val="single" w:color="000000" w:sz="8" w:space="0"/>
            </w:tcBorders>
            <w:noWrap w:val="0"/>
            <w:vAlign w:val="center"/>
          </w:tcPr>
          <w:p w14:paraId="32460854">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满足最低资本要求后的可用核心一级资本净额占风险加权资产的比例（%）</w:t>
            </w:r>
          </w:p>
        </w:tc>
        <w:tc>
          <w:tcPr>
            <w:tcW w:w="1014" w:type="pct"/>
            <w:tcBorders>
              <w:top w:val="nil"/>
              <w:left w:val="nil"/>
              <w:bottom w:val="single" w:color="000000" w:sz="8" w:space="0"/>
              <w:right w:val="single" w:color="000000" w:sz="8" w:space="0"/>
            </w:tcBorders>
            <w:noWrap w:val="0"/>
            <w:vAlign w:val="center"/>
          </w:tcPr>
          <w:p w14:paraId="67ADF13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6.22 </w:t>
            </w:r>
          </w:p>
        </w:tc>
        <w:tc>
          <w:tcPr>
            <w:tcW w:w="1253" w:type="pct"/>
            <w:tcBorders>
              <w:top w:val="nil"/>
              <w:left w:val="nil"/>
              <w:bottom w:val="single" w:color="000000" w:sz="8" w:space="0"/>
              <w:right w:val="single" w:color="000000" w:sz="8" w:space="0"/>
            </w:tcBorders>
            <w:noWrap w:val="0"/>
            <w:vAlign w:val="center"/>
          </w:tcPr>
          <w:p w14:paraId="019229C4">
            <w:pPr>
              <w:jc w:val="both"/>
              <w:rPr>
                <w:rFonts w:hint="eastAsia" w:ascii="Arial Narrow" w:hAnsi="Arial Narrow" w:eastAsia="仿宋_GB2312" w:cs="宋体"/>
                <w:i w:val="0"/>
                <w:iCs w:val="0"/>
                <w:color w:val="000000"/>
                <w:sz w:val="21"/>
                <w:szCs w:val="21"/>
                <w:u w:val="none"/>
              </w:rPr>
            </w:pPr>
          </w:p>
        </w:tc>
      </w:tr>
      <w:tr w14:paraId="0764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006417FF">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我国最低监管资本要求</w:t>
            </w:r>
          </w:p>
        </w:tc>
      </w:tr>
      <w:tr w14:paraId="37C9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4E5B18A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62</w:t>
            </w:r>
          </w:p>
        </w:tc>
        <w:tc>
          <w:tcPr>
            <w:tcW w:w="2015" w:type="pct"/>
            <w:tcBorders>
              <w:top w:val="single" w:color="000000" w:sz="8" w:space="0"/>
              <w:left w:val="nil"/>
              <w:bottom w:val="single" w:color="000000" w:sz="8" w:space="0"/>
              <w:right w:val="single" w:color="000000" w:sz="8" w:space="0"/>
            </w:tcBorders>
            <w:noWrap w:val="0"/>
            <w:vAlign w:val="center"/>
          </w:tcPr>
          <w:p w14:paraId="1CA21B31">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核心一级资本充足率（%）</w:t>
            </w:r>
          </w:p>
        </w:tc>
        <w:tc>
          <w:tcPr>
            <w:tcW w:w="1014" w:type="pct"/>
            <w:tcBorders>
              <w:top w:val="single" w:color="000000" w:sz="8" w:space="0"/>
              <w:left w:val="nil"/>
              <w:bottom w:val="single" w:color="000000" w:sz="8" w:space="0"/>
              <w:right w:val="single" w:color="000000" w:sz="8" w:space="0"/>
            </w:tcBorders>
            <w:noWrap w:val="0"/>
            <w:vAlign w:val="center"/>
          </w:tcPr>
          <w:p w14:paraId="706759C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5</w:t>
            </w:r>
          </w:p>
        </w:tc>
        <w:tc>
          <w:tcPr>
            <w:tcW w:w="1253" w:type="pct"/>
            <w:tcBorders>
              <w:top w:val="single" w:color="000000" w:sz="8" w:space="0"/>
              <w:left w:val="nil"/>
              <w:bottom w:val="single" w:color="000000" w:sz="8" w:space="0"/>
              <w:right w:val="single" w:color="000000" w:sz="8" w:space="0"/>
            </w:tcBorders>
            <w:noWrap w:val="0"/>
            <w:vAlign w:val="center"/>
          </w:tcPr>
          <w:p w14:paraId="3F0779D9">
            <w:pPr>
              <w:jc w:val="both"/>
              <w:rPr>
                <w:rFonts w:hint="eastAsia" w:ascii="Arial Narrow" w:hAnsi="Arial Narrow" w:eastAsia="仿宋_GB2312" w:cs="宋体"/>
                <w:i w:val="0"/>
                <w:iCs w:val="0"/>
                <w:color w:val="000000"/>
                <w:sz w:val="21"/>
                <w:szCs w:val="21"/>
                <w:u w:val="none"/>
              </w:rPr>
            </w:pPr>
          </w:p>
        </w:tc>
      </w:tr>
      <w:tr w14:paraId="719F9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C97474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63</w:t>
            </w:r>
          </w:p>
        </w:tc>
        <w:tc>
          <w:tcPr>
            <w:tcW w:w="2015" w:type="pct"/>
            <w:tcBorders>
              <w:top w:val="nil"/>
              <w:left w:val="nil"/>
              <w:bottom w:val="single" w:color="000000" w:sz="8" w:space="0"/>
              <w:right w:val="single" w:color="000000" w:sz="8" w:space="0"/>
            </w:tcBorders>
            <w:noWrap w:val="0"/>
            <w:vAlign w:val="center"/>
          </w:tcPr>
          <w:p w14:paraId="15EC93B5">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一级资本充足率（%）</w:t>
            </w:r>
          </w:p>
        </w:tc>
        <w:tc>
          <w:tcPr>
            <w:tcW w:w="1014" w:type="pct"/>
            <w:tcBorders>
              <w:top w:val="nil"/>
              <w:left w:val="nil"/>
              <w:bottom w:val="single" w:color="000000" w:sz="8" w:space="0"/>
              <w:right w:val="single" w:color="000000" w:sz="8" w:space="0"/>
            </w:tcBorders>
            <w:noWrap w:val="0"/>
            <w:vAlign w:val="center"/>
          </w:tcPr>
          <w:p w14:paraId="7B321FA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6</w:t>
            </w:r>
          </w:p>
        </w:tc>
        <w:tc>
          <w:tcPr>
            <w:tcW w:w="1253" w:type="pct"/>
            <w:tcBorders>
              <w:top w:val="nil"/>
              <w:left w:val="nil"/>
              <w:bottom w:val="single" w:color="000000" w:sz="8" w:space="0"/>
              <w:right w:val="single" w:color="000000" w:sz="8" w:space="0"/>
            </w:tcBorders>
            <w:noWrap w:val="0"/>
            <w:vAlign w:val="center"/>
          </w:tcPr>
          <w:p w14:paraId="0E7CFDCE">
            <w:pPr>
              <w:jc w:val="both"/>
              <w:rPr>
                <w:rFonts w:hint="eastAsia" w:ascii="Arial Narrow" w:hAnsi="Arial Narrow" w:eastAsia="仿宋_GB2312" w:cs="宋体"/>
                <w:i w:val="0"/>
                <w:iCs w:val="0"/>
                <w:color w:val="000000"/>
                <w:sz w:val="21"/>
                <w:szCs w:val="21"/>
                <w:u w:val="none"/>
              </w:rPr>
            </w:pPr>
          </w:p>
        </w:tc>
      </w:tr>
      <w:tr w14:paraId="6BF06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0212606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64</w:t>
            </w:r>
          </w:p>
        </w:tc>
        <w:tc>
          <w:tcPr>
            <w:tcW w:w="2015" w:type="pct"/>
            <w:tcBorders>
              <w:top w:val="nil"/>
              <w:left w:val="nil"/>
              <w:bottom w:val="single" w:color="000000" w:sz="8" w:space="0"/>
              <w:right w:val="single" w:color="000000" w:sz="8" w:space="0"/>
            </w:tcBorders>
            <w:noWrap w:val="0"/>
            <w:vAlign w:val="center"/>
          </w:tcPr>
          <w:p w14:paraId="4DD2A71C">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资本充足率（%）</w:t>
            </w:r>
          </w:p>
        </w:tc>
        <w:tc>
          <w:tcPr>
            <w:tcW w:w="1014" w:type="pct"/>
            <w:tcBorders>
              <w:top w:val="nil"/>
              <w:left w:val="nil"/>
              <w:bottom w:val="single" w:color="000000" w:sz="8" w:space="0"/>
              <w:right w:val="single" w:color="000000" w:sz="8" w:space="0"/>
            </w:tcBorders>
            <w:noWrap w:val="0"/>
            <w:vAlign w:val="center"/>
          </w:tcPr>
          <w:p w14:paraId="19C2C29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8</w:t>
            </w:r>
          </w:p>
        </w:tc>
        <w:tc>
          <w:tcPr>
            <w:tcW w:w="1253" w:type="pct"/>
            <w:tcBorders>
              <w:top w:val="nil"/>
              <w:left w:val="nil"/>
              <w:bottom w:val="single" w:color="000000" w:sz="8" w:space="0"/>
              <w:right w:val="single" w:color="000000" w:sz="8" w:space="0"/>
            </w:tcBorders>
            <w:noWrap w:val="0"/>
            <w:vAlign w:val="center"/>
          </w:tcPr>
          <w:p w14:paraId="10990B3A">
            <w:pPr>
              <w:jc w:val="both"/>
              <w:rPr>
                <w:rFonts w:hint="eastAsia" w:ascii="Arial Narrow" w:hAnsi="Arial Narrow" w:eastAsia="仿宋_GB2312" w:cs="宋体"/>
                <w:i w:val="0"/>
                <w:iCs w:val="0"/>
                <w:color w:val="000000"/>
                <w:sz w:val="21"/>
                <w:szCs w:val="21"/>
                <w:u w:val="none"/>
              </w:rPr>
            </w:pPr>
          </w:p>
        </w:tc>
      </w:tr>
      <w:tr w14:paraId="4459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50C82B7E">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门槛扣除项中未扣除部分</w:t>
            </w:r>
          </w:p>
        </w:tc>
      </w:tr>
      <w:tr w14:paraId="7D22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5BA7A75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65</w:t>
            </w:r>
          </w:p>
        </w:tc>
        <w:tc>
          <w:tcPr>
            <w:tcW w:w="2015" w:type="pct"/>
            <w:tcBorders>
              <w:top w:val="single" w:color="000000" w:sz="8" w:space="0"/>
              <w:left w:val="nil"/>
              <w:bottom w:val="single" w:color="000000" w:sz="8" w:space="0"/>
              <w:right w:val="single" w:color="000000" w:sz="8" w:space="0"/>
            </w:tcBorders>
            <w:noWrap w:val="0"/>
            <w:vAlign w:val="center"/>
          </w:tcPr>
          <w:p w14:paraId="7D54FD1A">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对未并表金融机构的小额少数资本投资中未扣除部分</w:t>
            </w:r>
          </w:p>
        </w:tc>
        <w:tc>
          <w:tcPr>
            <w:tcW w:w="1014" w:type="pct"/>
            <w:tcBorders>
              <w:top w:val="single" w:color="000000" w:sz="8" w:space="0"/>
              <w:left w:val="nil"/>
              <w:bottom w:val="single" w:color="000000" w:sz="8" w:space="0"/>
              <w:right w:val="single" w:color="000000" w:sz="8" w:space="0"/>
            </w:tcBorders>
            <w:noWrap w:val="0"/>
            <w:vAlign w:val="center"/>
          </w:tcPr>
          <w:p w14:paraId="73D3520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88,602.71</w:t>
            </w:r>
          </w:p>
        </w:tc>
        <w:tc>
          <w:tcPr>
            <w:tcW w:w="1253" w:type="pct"/>
            <w:tcBorders>
              <w:top w:val="single" w:color="000000" w:sz="8" w:space="0"/>
              <w:left w:val="nil"/>
              <w:bottom w:val="single" w:color="000000" w:sz="8" w:space="0"/>
              <w:right w:val="single" w:color="000000" w:sz="8" w:space="0"/>
            </w:tcBorders>
            <w:noWrap w:val="0"/>
            <w:vAlign w:val="center"/>
          </w:tcPr>
          <w:p w14:paraId="19A3A552">
            <w:pPr>
              <w:jc w:val="both"/>
              <w:rPr>
                <w:rFonts w:hint="eastAsia" w:ascii="Arial Narrow" w:hAnsi="Arial Narrow" w:eastAsia="仿宋_GB2312" w:cs="宋体"/>
                <w:i w:val="0"/>
                <w:iCs w:val="0"/>
                <w:color w:val="000000"/>
                <w:sz w:val="21"/>
                <w:szCs w:val="21"/>
                <w:u w:val="none"/>
              </w:rPr>
            </w:pPr>
          </w:p>
        </w:tc>
      </w:tr>
      <w:tr w14:paraId="3EC5E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21E8F9B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66</w:t>
            </w:r>
          </w:p>
        </w:tc>
        <w:tc>
          <w:tcPr>
            <w:tcW w:w="2015" w:type="pct"/>
            <w:tcBorders>
              <w:top w:val="nil"/>
              <w:left w:val="nil"/>
              <w:bottom w:val="single" w:color="000000" w:sz="8" w:space="0"/>
              <w:right w:val="single" w:color="000000" w:sz="8" w:space="0"/>
            </w:tcBorders>
            <w:noWrap w:val="0"/>
            <w:vAlign w:val="center"/>
          </w:tcPr>
          <w:p w14:paraId="539A2C3C">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对未并表金融机构的大额少数资本投资中未扣除部分</w:t>
            </w:r>
          </w:p>
        </w:tc>
        <w:tc>
          <w:tcPr>
            <w:tcW w:w="1014" w:type="pct"/>
            <w:tcBorders>
              <w:top w:val="nil"/>
              <w:left w:val="nil"/>
              <w:bottom w:val="single" w:color="000000" w:sz="8" w:space="0"/>
              <w:right w:val="single" w:color="000000" w:sz="8" w:space="0"/>
            </w:tcBorders>
            <w:noWrap w:val="0"/>
            <w:vAlign w:val="center"/>
          </w:tcPr>
          <w:p w14:paraId="3E5AE73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47,566.46</w:t>
            </w:r>
          </w:p>
        </w:tc>
        <w:tc>
          <w:tcPr>
            <w:tcW w:w="1253" w:type="pct"/>
            <w:tcBorders>
              <w:top w:val="nil"/>
              <w:left w:val="nil"/>
              <w:bottom w:val="single" w:color="000000" w:sz="8" w:space="0"/>
              <w:right w:val="single" w:color="000000" w:sz="8" w:space="0"/>
            </w:tcBorders>
            <w:noWrap w:val="0"/>
            <w:vAlign w:val="center"/>
          </w:tcPr>
          <w:p w14:paraId="78EB46C2">
            <w:pPr>
              <w:jc w:val="both"/>
              <w:rPr>
                <w:rFonts w:hint="eastAsia" w:ascii="Arial Narrow" w:hAnsi="Arial Narrow" w:eastAsia="仿宋_GB2312" w:cs="宋体"/>
                <w:i w:val="0"/>
                <w:iCs w:val="0"/>
                <w:color w:val="000000"/>
                <w:sz w:val="21"/>
                <w:szCs w:val="21"/>
                <w:u w:val="none"/>
              </w:rPr>
            </w:pPr>
          </w:p>
        </w:tc>
      </w:tr>
      <w:tr w14:paraId="4C38A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EE7546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67</w:t>
            </w:r>
          </w:p>
        </w:tc>
        <w:tc>
          <w:tcPr>
            <w:tcW w:w="2015" w:type="pct"/>
            <w:tcBorders>
              <w:top w:val="nil"/>
              <w:left w:val="nil"/>
              <w:bottom w:val="single" w:color="000000" w:sz="8" w:space="0"/>
              <w:right w:val="single" w:color="000000" w:sz="8" w:space="0"/>
            </w:tcBorders>
            <w:noWrap w:val="0"/>
            <w:vAlign w:val="center"/>
          </w:tcPr>
          <w:p w14:paraId="1D3D1EDA">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其他依赖于银行未来盈利的净递延税资产（扣除递延税负债）</w:t>
            </w:r>
          </w:p>
        </w:tc>
        <w:tc>
          <w:tcPr>
            <w:tcW w:w="1014" w:type="pct"/>
            <w:tcBorders>
              <w:top w:val="nil"/>
              <w:left w:val="nil"/>
              <w:bottom w:val="single" w:color="000000" w:sz="8" w:space="0"/>
              <w:right w:val="single" w:color="000000" w:sz="8" w:space="0"/>
            </w:tcBorders>
            <w:noWrap w:val="0"/>
            <w:vAlign w:val="center"/>
          </w:tcPr>
          <w:p w14:paraId="2FBC7F1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122,894.60</w:t>
            </w:r>
          </w:p>
        </w:tc>
        <w:tc>
          <w:tcPr>
            <w:tcW w:w="1253" w:type="pct"/>
            <w:tcBorders>
              <w:top w:val="nil"/>
              <w:left w:val="nil"/>
              <w:bottom w:val="single" w:color="000000" w:sz="8" w:space="0"/>
              <w:right w:val="single" w:color="000000" w:sz="8" w:space="0"/>
            </w:tcBorders>
            <w:noWrap w:val="0"/>
            <w:vAlign w:val="center"/>
          </w:tcPr>
          <w:p w14:paraId="791E6D4B">
            <w:pPr>
              <w:jc w:val="both"/>
              <w:rPr>
                <w:rFonts w:hint="eastAsia" w:ascii="Arial Narrow" w:hAnsi="Arial Narrow" w:eastAsia="仿宋_GB2312" w:cs="宋体"/>
                <w:i w:val="0"/>
                <w:iCs w:val="0"/>
                <w:color w:val="000000"/>
                <w:sz w:val="21"/>
                <w:szCs w:val="21"/>
                <w:u w:val="none"/>
              </w:rPr>
            </w:pPr>
          </w:p>
        </w:tc>
      </w:tr>
      <w:tr w14:paraId="2F15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4"/>
            <w:tcBorders>
              <w:top w:val="nil"/>
              <w:left w:val="single" w:color="000000" w:sz="8" w:space="0"/>
              <w:bottom w:val="single" w:color="000000" w:sz="8" w:space="0"/>
              <w:right w:val="single" w:color="000000" w:sz="8" w:space="0"/>
            </w:tcBorders>
            <w:shd w:val="clear" w:color="auto" w:fill="D9D9D9"/>
            <w:noWrap w:val="0"/>
            <w:vAlign w:val="center"/>
          </w:tcPr>
          <w:p w14:paraId="7F2DE8BC">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可计入二级资本的超额损失准备的限额</w:t>
            </w:r>
            <w:r>
              <w:rPr>
                <w:rFonts w:hint="eastAsia" w:ascii="Arial Narrow" w:hAnsi="Arial Narrow" w:eastAsia="仿宋_GB2312" w:cs="黑体"/>
                <w:i w:val="0"/>
                <w:iCs w:val="0"/>
                <w:color w:val="000000"/>
                <w:kern w:val="0"/>
                <w:sz w:val="21"/>
                <w:szCs w:val="21"/>
                <w:u w:val="none"/>
                <w:lang w:val="en-US" w:eastAsia="zh-CN" w:bidi="ar"/>
              </w:rPr>
              <w:t>　</w:t>
            </w:r>
          </w:p>
        </w:tc>
      </w:tr>
      <w:tr w14:paraId="3589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13E8ACC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68</w:t>
            </w:r>
          </w:p>
        </w:tc>
        <w:tc>
          <w:tcPr>
            <w:tcW w:w="2015" w:type="pct"/>
            <w:tcBorders>
              <w:top w:val="single" w:color="000000" w:sz="8" w:space="0"/>
              <w:left w:val="nil"/>
              <w:bottom w:val="single" w:color="000000" w:sz="8" w:space="0"/>
              <w:right w:val="single" w:color="000000" w:sz="8" w:space="0"/>
            </w:tcBorders>
            <w:noWrap w:val="0"/>
            <w:vAlign w:val="center"/>
          </w:tcPr>
          <w:p w14:paraId="55231419">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权重法下，实际计提的超额损失准备金额</w:t>
            </w:r>
          </w:p>
        </w:tc>
        <w:tc>
          <w:tcPr>
            <w:tcW w:w="1014" w:type="pct"/>
            <w:tcBorders>
              <w:top w:val="single" w:color="000000" w:sz="8" w:space="0"/>
              <w:left w:val="nil"/>
              <w:bottom w:val="single" w:color="000000" w:sz="8" w:space="0"/>
              <w:right w:val="single" w:color="000000" w:sz="8" w:space="0"/>
            </w:tcBorders>
            <w:noWrap w:val="0"/>
            <w:vAlign w:val="center"/>
          </w:tcPr>
          <w:p w14:paraId="11FC144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300,406.15</w:t>
            </w:r>
          </w:p>
        </w:tc>
        <w:tc>
          <w:tcPr>
            <w:tcW w:w="1253" w:type="pct"/>
            <w:tcBorders>
              <w:top w:val="single" w:color="000000" w:sz="8" w:space="0"/>
              <w:left w:val="nil"/>
              <w:bottom w:val="single" w:color="000000" w:sz="8" w:space="0"/>
              <w:right w:val="single" w:color="000000" w:sz="8" w:space="0"/>
            </w:tcBorders>
            <w:noWrap w:val="0"/>
            <w:vAlign w:val="center"/>
          </w:tcPr>
          <w:p w14:paraId="5ABFA5EB">
            <w:pPr>
              <w:jc w:val="both"/>
              <w:rPr>
                <w:rFonts w:hint="eastAsia" w:ascii="Arial Narrow" w:hAnsi="Arial Narrow" w:eastAsia="仿宋_GB2312" w:cs="宋体"/>
                <w:i w:val="0"/>
                <w:iCs w:val="0"/>
                <w:color w:val="000000"/>
                <w:sz w:val="21"/>
                <w:szCs w:val="21"/>
                <w:u w:val="none"/>
              </w:rPr>
            </w:pPr>
          </w:p>
        </w:tc>
      </w:tr>
      <w:tr w14:paraId="6DC78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7" w:type="pct"/>
            <w:tcBorders>
              <w:top w:val="nil"/>
              <w:left w:val="single" w:color="000000" w:sz="8" w:space="0"/>
              <w:bottom w:val="single" w:color="000000" w:sz="8" w:space="0"/>
              <w:right w:val="single" w:color="000000" w:sz="8" w:space="0"/>
            </w:tcBorders>
            <w:noWrap w:val="0"/>
            <w:vAlign w:val="center"/>
          </w:tcPr>
          <w:p w14:paraId="6C15135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69</w:t>
            </w:r>
          </w:p>
        </w:tc>
        <w:tc>
          <w:tcPr>
            <w:tcW w:w="2015" w:type="pct"/>
            <w:tcBorders>
              <w:top w:val="nil"/>
              <w:left w:val="nil"/>
              <w:bottom w:val="single" w:color="000000" w:sz="8" w:space="0"/>
              <w:right w:val="single" w:color="000000" w:sz="8" w:space="0"/>
            </w:tcBorders>
            <w:noWrap w:val="0"/>
            <w:vAlign w:val="center"/>
          </w:tcPr>
          <w:p w14:paraId="6F11F0ED">
            <w:pPr>
              <w:keepNext w:val="0"/>
              <w:keepLines w:val="0"/>
              <w:widowControl/>
              <w:suppressLineNumbers w:val="0"/>
              <w:jc w:val="both"/>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权重法下，可计入二级资本超额损失准备的数额</w:t>
            </w:r>
          </w:p>
        </w:tc>
        <w:tc>
          <w:tcPr>
            <w:tcW w:w="1014" w:type="pct"/>
            <w:tcBorders>
              <w:top w:val="nil"/>
              <w:left w:val="nil"/>
              <w:bottom w:val="single" w:color="000000" w:sz="8" w:space="0"/>
              <w:right w:val="single" w:color="000000" w:sz="8" w:space="0"/>
            </w:tcBorders>
            <w:noWrap w:val="0"/>
            <w:vAlign w:val="center"/>
          </w:tcPr>
          <w:p w14:paraId="2374E02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172,454.27</w:t>
            </w:r>
          </w:p>
        </w:tc>
        <w:tc>
          <w:tcPr>
            <w:tcW w:w="1253" w:type="pct"/>
            <w:tcBorders>
              <w:top w:val="nil"/>
              <w:left w:val="nil"/>
              <w:bottom w:val="single" w:color="000000" w:sz="8" w:space="0"/>
              <w:right w:val="single" w:color="000000" w:sz="8" w:space="0"/>
            </w:tcBorders>
            <w:noWrap/>
            <w:vAlign w:val="center"/>
          </w:tcPr>
          <w:p w14:paraId="585A1A1A">
            <w:pPr>
              <w:rPr>
                <w:rFonts w:hint="eastAsia" w:ascii="Arial Narrow" w:hAnsi="Arial Narrow" w:eastAsia="仿宋_GB2312" w:cs="宋体"/>
                <w:i w:val="0"/>
                <w:iCs w:val="0"/>
                <w:color w:val="000000"/>
                <w:sz w:val="21"/>
                <w:szCs w:val="21"/>
                <w:u w:val="none"/>
              </w:rPr>
            </w:pPr>
          </w:p>
        </w:tc>
      </w:tr>
    </w:tbl>
    <w:p w14:paraId="0D061D43">
      <w:pPr>
        <w:pStyle w:val="6"/>
        <w:keepNext w:val="0"/>
        <w:keepLines w:val="0"/>
        <w:pageBreakBefore w:val="0"/>
        <w:kinsoku/>
        <w:wordWrap/>
        <w:overflowPunct w:val="0"/>
        <w:topLinePunct w:val="0"/>
        <w:bidi w:val="0"/>
        <w:spacing w:before="37"/>
        <w:jc w:val="right"/>
        <w:rPr>
          <w:rFonts w:hint="eastAsia"/>
          <w:b/>
          <w:bCs/>
          <w:spacing w:val="-3"/>
          <w:sz w:val="22"/>
          <w:szCs w:val="22"/>
          <w:highlight w:val="none"/>
        </w:rPr>
      </w:pPr>
    </w:p>
    <w:p w14:paraId="560B9131">
      <w:pPr>
        <w:pStyle w:val="21"/>
        <w:bidi w:val="0"/>
      </w:pPr>
      <w:r>
        <w:t>3.3集团财务并表和监管并表下的资产负债表差异</w:t>
      </w:r>
    </w:p>
    <w:p w14:paraId="47CFF521">
      <w:pPr>
        <w:pStyle w:val="17"/>
        <w:bidi w:val="0"/>
      </w:pPr>
      <w:r>
        <w:t>下表列示本行财务并表和监管并表下的资产负债表之间的对应关系。</w:t>
      </w:r>
    </w:p>
    <w:p w14:paraId="33563818">
      <w:pPr>
        <w:pStyle w:val="17"/>
        <w:bidi w:val="0"/>
        <w:ind w:left="0" w:leftChars="0" w:firstLine="0" w:firstLineChars="0"/>
        <w:jc w:val="center"/>
        <w:rPr>
          <w:b/>
          <w:bCs/>
        </w:rPr>
      </w:pPr>
      <w:r>
        <w:rPr>
          <w:rFonts w:hint="eastAsia"/>
          <w:b/>
          <w:bCs/>
        </w:rPr>
        <w:t>表格CC2：集团财务并表和监管并表下的资产负债表的差异</w:t>
      </w:r>
    </w:p>
    <w:p w14:paraId="20EABD27">
      <w:pPr>
        <w:pStyle w:val="17"/>
        <w:bidi w:val="0"/>
        <w:ind w:left="0" w:leftChars="0" w:firstLine="0" w:firstLineChars="0"/>
        <w:jc w:val="right"/>
        <w:rPr>
          <w:rFonts w:hint="eastAsia"/>
        </w:rPr>
      </w:pPr>
      <w:r>
        <w:rPr>
          <w:rFonts w:hint="eastAsia"/>
        </w:rPr>
        <w:t>单位：人民币万元</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1"/>
        <w:gridCol w:w="3166"/>
        <w:gridCol w:w="1602"/>
        <w:gridCol w:w="1602"/>
        <w:gridCol w:w="968"/>
      </w:tblGrid>
      <w:tr w14:paraId="5E9E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55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0CCF4BE1">
            <w:pPr>
              <w:rPr>
                <w:rFonts w:hint="eastAsia" w:ascii="Arial Narrow" w:hAnsi="Arial Narrow" w:eastAsia="仿宋_GB2312" w:cs="宋体"/>
                <w:b/>
                <w:bCs/>
                <w:i w:val="0"/>
                <w:iCs w:val="0"/>
                <w:color w:val="000000"/>
                <w:sz w:val="21"/>
                <w:szCs w:val="21"/>
                <w:u w:val="none"/>
              </w:rPr>
            </w:pPr>
          </w:p>
        </w:tc>
        <w:tc>
          <w:tcPr>
            <w:tcW w:w="940" w:type="pct"/>
            <w:tcBorders>
              <w:top w:val="single" w:color="000000" w:sz="8" w:space="0"/>
              <w:left w:val="nil"/>
              <w:bottom w:val="single" w:color="000000" w:sz="8" w:space="0"/>
              <w:right w:val="single" w:color="000000" w:sz="8" w:space="0"/>
            </w:tcBorders>
            <w:noWrap w:val="0"/>
            <w:vAlign w:val="center"/>
          </w:tcPr>
          <w:p w14:paraId="186796BC">
            <w:pPr>
              <w:keepNext w:val="0"/>
              <w:keepLines w:val="0"/>
              <w:widowControl/>
              <w:suppressLineNumbers w:val="0"/>
              <w:jc w:val="center"/>
              <w:textAlignment w:val="center"/>
              <w:rPr>
                <w:rFonts w:hint="eastAsia" w:ascii="Arial Narrow" w:hAnsi="Arial Narrow" w:eastAsia="仿宋_GB2312" w:cs="宋体"/>
                <w:b/>
                <w:bCs/>
                <w:i w:val="0"/>
                <w:iCs w:val="0"/>
                <w:color w:val="000000"/>
                <w:sz w:val="21"/>
                <w:szCs w:val="21"/>
                <w:u w:val="none"/>
              </w:rPr>
            </w:pPr>
            <w:r>
              <w:rPr>
                <w:rFonts w:hint="eastAsia" w:ascii="Arial Narrow" w:hAnsi="Arial Narrow" w:eastAsia="仿宋_GB2312" w:cs="宋体"/>
                <w:b/>
                <w:bCs/>
                <w:i w:val="0"/>
                <w:iCs w:val="0"/>
                <w:color w:val="000000"/>
                <w:kern w:val="0"/>
                <w:sz w:val="21"/>
                <w:szCs w:val="21"/>
                <w:u w:val="none"/>
                <w:lang w:val="en-US" w:eastAsia="zh-CN" w:bidi="ar"/>
              </w:rPr>
              <w:t>a</w:t>
            </w:r>
          </w:p>
        </w:tc>
        <w:tc>
          <w:tcPr>
            <w:tcW w:w="940" w:type="pct"/>
            <w:tcBorders>
              <w:top w:val="single" w:color="000000" w:sz="8" w:space="0"/>
              <w:left w:val="nil"/>
              <w:bottom w:val="single" w:color="000000" w:sz="8" w:space="0"/>
              <w:right w:val="single" w:color="000000" w:sz="8" w:space="0"/>
            </w:tcBorders>
            <w:noWrap w:val="0"/>
            <w:vAlign w:val="center"/>
          </w:tcPr>
          <w:p w14:paraId="15566A9F">
            <w:pPr>
              <w:keepNext w:val="0"/>
              <w:keepLines w:val="0"/>
              <w:widowControl/>
              <w:suppressLineNumbers w:val="0"/>
              <w:jc w:val="center"/>
              <w:textAlignment w:val="center"/>
              <w:rPr>
                <w:rFonts w:hint="eastAsia" w:ascii="Arial Narrow" w:hAnsi="Arial Narrow" w:eastAsia="仿宋_GB2312" w:cs="宋体"/>
                <w:b/>
                <w:bCs/>
                <w:i w:val="0"/>
                <w:iCs w:val="0"/>
                <w:color w:val="000000"/>
                <w:sz w:val="21"/>
                <w:szCs w:val="21"/>
                <w:u w:val="none"/>
              </w:rPr>
            </w:pPr>
            <w:r>
              <w:rPr>
                <w:rFonts w:hint="eastAsia" w:ascii="Arial Narrow" w:hAnsi="Arial Narrow" w:eastAsia="仿宋_GB2312" w:cs="宋体"/>
                <w:b/>
                <w:bCs/>
                <w:i w:val="0"/>
                <w:iCs w:val="0"/>
                <w:color w:val="000000"/>
                <w:kern w:val="0"/>
                <w:sz w:val="21"/>
                <w:szCs w:val="21"/>
                <w:u w:val="none"/>
                <w:lang w:val="en-US" w:eastAsia="zh-CN" w:bidi="ar"/>
              </w:rPr>
              <w:t>b</w:t>
            </w:r>
          </w:p>
        </w:tc>
        <w:tc>
          <w:tcPr>
            <w:tcW w:w="566" w:type="pct"/>
            <w:vMerge w:val="restart"/>
            <w:tcBorders>
              <w:top w:val="single" w:color="000000" w:sz="8" w:space="0"/>
              <w:left w:val="nil"/>
              <w:bottom w:val="nil"/>
              <w:right w:val="single" w:color="000000" w:sz="8" w:space="0"/>
            </w:tcBorders>
            <w:noWrap w:val="0"/>
            <w:vAlign w:val="center"/>
          </w:tcPr>
          <w:p w14:paraId="7929697A">
            <w:pPr>
              <w:keepNext w:val="0"/>
              <w:keepLines w:val="0"/>
              <w:widowControl/>
              <w:suppressLineNumbers w:val="0"/>
              <w:jc w:val="center"/>
              <w:textAlignment w:val="center"/>
              <w:rPr>
                <w:rFonts w:hint="eastAsia" w:ascii="Arial Narrow" w:hAnsi="Arial Narrow" w:eastAsia="仿宋_GB2312" w:cs="宋体"/>
                <w:b/>
                <w:bCs/>
                <w:i w:val="0"/>
                <w:iCs w:val="0"/>
                <w:color w:val="000000"/>
                <w:sz w:val="21"/>
                <w:szCs w:val="21"/>
                <w:u w:val="none"/>
              </w:rPr>
            </w:pPr>
            <w:r>
              <w:rPr>
                <w:rFonts w:hint="eastAsia" w:ascii="Arial Narrow" w:hAnsi="Arial Narrow" w:eastAsia="仿宋_GB2312" w:cs="宋体"/>
                <w:b/>
                <w:bCs/>
                <w:i w:val="0"/>
                <w:iCs w:val="0"/>
                <w:color w:val="000000"/>
                <w:kern w:val="0"/>
                <w:sz w:val="21"/>
                <w:szCs w:val="21"/>
                <w:u w:val="none"/>
                <w:lang w:val="en-US" w:eastAsia="zh-CN" w:bidi="ar"/>
              </w:rPr>
              <w:t>c</w:t>
            </w:r>
          </w:p>
        </w:tc>
      </w:tr>
      <w:tr w14:paraId="52C97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55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EFD797E">
            <w:pPr>
              <w:rPr>
                <w:rFonts w:hint="eastAsia" w:ascii="Arial Narrow" w:hAnsi="Arial Narrow" w:eastAsia="仿宋_GB2312" w:cs="宋体"/>
                <w:b/>
                <w:bCs/>
                <w:i w:val="0"/>
                <w:iCs w:val="0"/>
                <w:color w:val="000000"/>
                <w:sz w:val="21"/>
                <w:szCs w:val="21"/>
                <w:u w:val="none"/>
              </w:rPr>
            </w:pPr>
          </w:p>
        </w:tc>
        <w:tc>
          <w:tcPr>
            <w:tcW w:w="1880" w:type="pct"/>
            <w:gridSpan w:val="2"/>
            <w:tcBorders>
              <w:top w:val="single" w:color="000000" w:sz="8" w:space="0"/>
              <w:left w:val="nil"/>
              <w:bottom w:val="single" w:color="000000" w:sz="8" w:space="0"/>
              <w:right w:val="single" w:color="000000" w:sz="8" w:space="0"/>
            </w:tcBorders>
            <w:noWrap w:val="0"/>
            <w:vAlign w:val="center"/>
          </w:tcPr>
          <w:p w14:paraId="01AF0557">
            <w:pPr>
              <w:keepNext w:val="0"/>
              <w:keepLines w:val="0"/>
              <w:widowControl/>
              <w:suppressLineNumbers w:val="0"/>
              <w:jc w:val="left"/>
              <w:textAlignment w:val="center"/>
              <w:rPr>
                <w:rFonts w:ascii="Arial Narrow" w:hAnsi="Arial Narrow" w:eastAsia="仿宋_GB2312" w:cs="Arial"/>
                <w:b/>
                <w:bCs/>
                <w:i w:val="0"/>
                <w:iCs w:val="0"/>
                <w:color w:val="000000"/>
                <w:sz w:val="21"/>
                <w:szCs w:val="21"/>
                <w:u w:val="none"/>
              </w:rPr>
            </w:pPr>
            <w:r>
              <w:rPr>
                <w:rFonts w:hint="default" w:ascii="Arial Narrow" w:hAnsi="Arial Narrow" w:eastAsia="仿宋_GB2312" w:cs="Arial"/>
                <w:b/>
                <w:bCs/>
                <w:i w:val="0"/>
                <w:iCs w:val="0"/>
                <w:color w:val="000000"/>
                <w:kern w:val="0"/>
                <w:sz w:val="21"/>
                <w:szCs w:val="21"/>
                <w:u w:val="none"/>
                <w:lang w:val="en-US" w:eastAsia="zh-CN" w:bidi="ar"/>
              </w:rPr>
              <w:t>2026年6月30日</w:t>
            </w:r>
          </w:p>
        </w:tc>
        <w:tc>
          <w:tcPr>
            <w:tcW w:w="566" w:type="pct"/>
            <w:vMerge w:val="continue"/>
            <w:tcBorders>
              <w:top w:val="single" w:color="000000" w:sz="8" w:space="0"/>
              <w:left w:val="nil"/>
              <w:bottom w:val="nil"/>
              <w:right w:val="single" w:color="000000" w:sz="8" w:space="0"/>
            </w:tcBorders>
            <w:noWrap w:val="0"/>
            <w:vAlign w:val="center"/>
          </w:tcPr>
          <w:p w14:paraId="7864846F">
            <w:pPr>
              <w:jc w:val="center"/>
              <w:rPr>
                <w:rFonts w:hint="eastAsia" w:ascii="Arial Narrow" w:hAnsi="Arial Narrow" w:eastAsia="仿宋_GB2312" w:cs="宋体"/>
                <w:b/>
                <w:bCs/>
                <w:i w:val="0"/>
                <w:iCs w:val="0"/>
                <w:color w:val="000000"/>
                <w:sz w:val="21"/>
                <w:szCs w:val="21"/>
                <w:u w:val="none"/>
              </w:rPr>
            </w:pPr>
          </w:p>
        </w:tc>
      </w:tr>
      <w:tr w14:paraId="4C250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55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BC4D3F4">
            <w:pPr>
              <w:rPr>
                <w:rFonts w:hint="eastAsia" w:ascii="Arial Narrow" w:hAnsi="Arial Narrow" w:eastAsia="仿宋_GB2312" w:cs="宋体"/>
                <w:b/>
                <w:bCs/>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62D88F5F">
            <w:pPr>
              <w:keepNext w:val="0"/>
              <w:keepLines w:val="0"/>
              <w:widowControl/>
              <w:suppressLineNumbers w:val="0"/>
              <w:jc w:val="center"/>
              <w:textAlignment w:val="center"/>
              <w:rPr>
                <w:rFonts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财务并表范围下的资产负债表</w:t>
            </w:r>
          </w:p>
        </w:tc>
        <w:tc>
          <w:tcPr>
            <w:tcW w:w="940" w:type="pct"/>
            <w:tcBorders>
              <w:top w:val="nil"/>
              <w:left w:val="nil"/>
              <w:bottom w:val="single" w:color="000000" w:sz="8" w:space="0"/>
              <w:right w:val="single" w:color="000000" w:sz="8" w:space="0"/>
            </w:tcBorders>
            <w:noWrap w:val="0"/>
            <w:vAlign w:val="center"/>
          </w:tcPr>
          <w:p w14:paraId="79A75C92">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监管并表范围下的资产负债表</w:t>
            </w:r>
          </w:p>
        </w:tc>
        <w:tc>
          <w:tcPr>
            <w:tcW w:w="566" w:type="pct"/>
            <w:tcBorders>
              <w:top w:val="single" w:color="000000" w:sz="8" w:space="0"/>
              <w:left w:val="nil"/>
              <w:bottom w:val="single" w:color="000000" w:sz="8" w:space="0"/>
              <w:right w:val="single" w:color="000000" w:sz="8" w:space="0"/>
            </w:tcBorders>
            <w:noWrap w:val="0"/>
            <w:vAlign w:val="center"/>
          </w:tcPr>
          <w:p w14:paraId="14A3FDF4">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代码</w:t>
            </w:r>
          </w:p>
        </w:tc>
      </w:tr>
      <w:tr w14:paraId="5446F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5"/>
            <w:tcBorders>
              <w:top w:val="nil"/>
              <w:left w:val="single" w:color="000000" w:sz="8" w:space="0"/>
              <w:bottom w:val="single" w:color="000000" w:sz="8" w:space="0"/>
              <w:right w:val="single" w:color="000000" w:sz="8" w:space="0"/>
            </w:tcBorders>
            <w:shd w:val="clear" w:color="auto" w:fill="A6A6A6"/>
            <w:noWrap w:val="0"/>
            <w:vAlign w:val="center"/>
          </w:tcPr>
          <w:p w14:paraId="038A711D">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资产</w:t>
            </w:r>
          </w:p>
        </w:tc>
      </w:tr>
      <w:tr w14:paraId="23A32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3D8D08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w:t>
            </w:r>
          </w:p>
        </w:tc>
        <w:tc>
          <w:tcPr>
            <w:tcW w:w="1857" w:type="pct"/>
            <w:tcBorders>
              <w:top w:val="single" w:color="000000" w:sz="8" w:space="0"/>
              <w:left w:val="nil"/>
              <w:bottom w:val="single" w:color="000000" w:sz="8" w:space="0"/>
              <w:right w:val="single" w:color="000000" w:sz="8" w:space="0"/>
            </w:tcBorders>
            <w:noWrap w:val="0"/>
            <w:vAlign w:val="center"/>
          </w:tcPr>
          <w:p w14:paraId="7483F62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现金及存放中央银行款项</w:t>
            </w:r>
          </w:p>
        </w:tc>
        <w:tc>
          <w:tcPr>
            <w:tcW w:w="940" w:type="pct"/>
            <w:tcBorders>
              <w:top w:val="single" w:color="000000" w:sz="8" w:space="0"/>
              <w:left w:val="nil"/>
              <w:bottom w:val="single" w:color="000000" w:sz="8" w:space="0"/>
              <w:right w:val="single" w:color="000000" w:sz="8" w:space="0"/>
            </w:tcBorders>
            <w:noWrap w:val="0"/>
            <w:vAlign w:val="center"/>
          </w:tcPr>
          <w:p w14:paraId="79ACFE1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952,363.98 </w:t>
            </w:r>
          </w:p>
        </w:tc>
        <w:tc>
          <w:tcPr>
            <w:tcW w:w="940" w:type="pct"/>
            <w:tcBorders>
              <w:top w:val="single" w:color="000000" w:sz="8" w:space="0"/>
              <w:left w:val="nil"/>
              <w:bottom w:val="single" w:color="000000" w:sz="8" w:space="0"/>
              <w:right w:val="single" w:color="000000" w:sz="8" w:space="0"/>
            </w:tcBorders>
            <w:noWrap w:val="0"/>
            <w:vAlign w:val="center"/>
          </w:tcPr>
          <w:p w14:paraId="7749CFA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952,363.98 </w:t>
            </w:r>
          </w:p>
        </w:tc>
        <w:tc>
          <w:tcPr>
            <w:tcW w:w="566" w:type="pct"/>
            <w:tcBorders>
              <w:top w:val="single" w:color="000000" w:sz="8" w:space="0"/>
              <w:left w:val="nil"/>
              <w:bottom w:val="single" w:color="000000" w:sz="8" w:space="0"/>
              <w:right w:val="single" w:color="000000" w:sz="8" w:space="0"/>
            </w:tcBorders>
            <w:noWrap w:val="0"/>
            <w:vAlign w:val="center"/>
          </w:tcPr>
          <w:p w14:paraId="4BE1FB60">
            <w:pPr>
              <w:jc w:val="both"/>
              <w:rPr>
                <w:rFonts w:hint="eastAsia" w:ascii="Arial Narrow" w:hAnsi="Arial Narrow" w:eastAsia="仿宋_GB2312" w:cs="宋体"/>
                <w:i w:val="0"/>
                <w:iCs w:val="0"/>
                <w:color w:val="000000"/>
                <w:sz w:val="21"/>
                <w:szCs w:val="21"/>
                <w:u w:val="none"/>
              </w:rPr>
            </w:pPr>
          </w:p>
        </w:tc>
      </w:tr>
      <w:tr w14:paraId="4E7A4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7D1A53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w:t>
            </w:r>
          </w:p>
        </w:tc>
        <w:tc>
          <w:tcPr>
            <w:tcW w:w="1857" w:type="pct"/>
            <w:tcBorders>
              <w:top w:val="nil"/>
              <w:left w:val="nil"/>
              <w:bottom w:val="single" w:color="000000" w:sz="8" w:space="0"/>
              <w:right w:val="single" w:color="000000" w:sz="8" w:space="0"/>
            </w:tcBorders>
            <w:noWrap w:val="0"/>
            <w:vAlign w:val="center"/>
          </w:tcPr>
          <w:p w14:paraId="2A4D16AC">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存放同业款项</w:t>
            </w:r>
          </w:p>
        </w:tc>
        <w:tc>
          <w:tcPr>
            <w:tcW w:w="940" w:type="pct"/>
            <w:tcBorders>
              <w:top w:val="nil"/>
              <w:left w:val="nil"/>
              <w:bottom w:val="single" w:color="000000" w:sz="8" w:space="0"/>
              <w:right w:val="single" w:color="000000" w:sz="8" w:space="0"/>
            </w:tcBorders>
            <w:noWrap w:val="0"/>
            <w:vAlign w:val="center"/>
          </w:tcPr>
          <w:p w14:paraId="197112F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192,199.71 </w:t>
            </w:r>
          </w:p>
        </w:tc>
        <w:tc>
          <w:tcPr>
            <w:tcW w:w="940" w:type="pct"/>
            <w:tcBorders>
              <w:top w:val="nil"/>
              <w:left w:val="nil"/>
              <w:bottom w:val="single" w:color="000000" w:sz="8" w:space="0"/>
              <w:right w:val="single" w:color="000000" w:sz="8" w:space="0"/>
            </w:tcBorders>
            <w:noWrap w:val="0"/>
            <w:vAlign w:val="center"/>
          </w:tcPr>
          <w:p w14:paraId="67300A9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192,199.71 </w:t>
            </w:r>
          </w:p>
        </w:tc>
        <w:tc>
          <w:tcPr>
            <w:tcW w:w="566" w:type="pct"/>
            <w:tcBorders>
              <w:top w:val="nil"/>
              <w:left w:val="nil"/>
              <w:bottom w:val="single" w:color="000000" w:sz="8" w:space="0"/>
              <w:right w:val="single" w:color="000000" w:sz="8" w:space="0"/>
            </w:tcBorders>
            <w:noWrap w:val="0"/>
            <w:vAlign w:val="center"/>
          </w:tcPr>
          <w:p w14:paraId="26CBE7A8">
            <w:pPr>
              <w:jc w:val="both"/>
              <w:rPr>
                <w:rFonts w:hint="eastAsia" w:ascii="Arial Narrow" w:hAnsi="Arial Narrow" w:eastAsia="仿宋_GB2312" w:cs="宋体"/>
                <w:i w:val="0"/>
                <w:iCs w:val="0"/>
                <w:color w:val="000000"/>
                <w:sz w:val="21"/>
                <w:szCs w:val="21"/>
                <w:u w:val="none"/>
              </w:rPr>
            </w:pPr>
          </w:p>
        </w:tc>
      </w:tr>
      <w:tr w14:paraId="01F58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F63E72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w:t>
            </w:r>
          </w:p>
        </w:tc>
        <w:tc>
          <w:tcPr>
            <w:tcW w:w="1857" w:type="pct"/>
            <w:tcBorders>
              <w:top w:val="nil"/>
              <w:left w:val="nil"/>
              <w:bottom w:val="single" w:color="000000" w:sz="8" w:space="0"/>
              <w:right w:val="single" w:color="000000" w:sz="8" w:space="0"/>
            </w:tcBorders>
            <w:noWrap w:val="0"/>
            <w:vAlign w:val="center"/>
          </w:tcPr>
          <w:p w14:paraId="337C849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贵金属</w:t>
            </w:r>
          </w:p>
        </w:tc>
        <w:tc>
          <w:tcPr>
            <w:tcW w:w="940" w:type="pct"/>
            <w:tcBorders>
              <w:top w:val="nil"/>
              <w:left w:val="nil"/>
              <w:bottom w:val="single" w:color="000000" w:sz="8" w:space="0"/>
              <w:right w:val="single" w:color="000000" w:sz="8" w:space="0"/>
            </w:tcBorders>
            <w:noWrap w:val="0"/>
            <w:vAlign w:val="center"/>
          </w:tcPr>
          <w:p w14:paraId="340A6F21">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5C01DEB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09ADDB1E">
            <w:pPr>
              <w:jc w:val="both"/>
              <w:rPr>
                <w:rFonts w:hint="eastAsia" w:ascii="Arial Narrow" w:hAnsi="Arial Narrow" w:eastAsia="仿宋_GB2312" w:cs="宋体"/>
                <w:i w:val="0"/>
                <w:iCs w:val="0"/>
                <w:color w:val="000000"/>
                <w:sz w:val="21"/>
                <w:szCs w:val="21"/>
                <w:u w:val="none"/>
              </w:rPr>
            </w:pPr>
          </w:p>
        </w:tc>
      </w:tr>
      <w:tr w14:paraId="1018D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23FADA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w:t>
            </w:r>
          </w:p>
        </w:tc>
        <w:tc>
          <w:tcPr>
            <w:tcW w:w="1857" w:type="pct"/>
            <w:tcBorders>
              <w:top w:val="nil"/>
              <w:left w:val="nil"/>
              <w:bottom w:val="single" w:color="000000" w:sz="8" w:space="0"/>
              <w:right w:val="single" w:color="000000" w:sz="8" w:space="0"/>
            </w:tcBorders>
            <w:noWrap w:val="0"/>
            <w:vAlign w:val="center"/>
          </w:tcPr>
          <w:p w14:paraId="1E3E13AA">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拆出资金</w:t>
            </w:r>
          </w:p>
        </w:tc>
        <w:tc>
          <w:tcPr>
            <w:tcW w:w="940" w:type="pct"/>
            <w:tcBorders>
              <w:top w:val="nil"/>
              <w:left w:val="nil"/>
              <w:bottom w:val="single" w:color="000000" w:sz="8" w:space="0"/>
              <w:right w:val="single" w:color="000000" w:sz="8" w:space="0"/>
            </w:tcBorders>
            <w:noWrap w:val="0"/>
            <w:vAlign w:val="center"/>
          </w:tcPr>
          <w:p w14:paraId="5CF9FDF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32,799.46 </w:t>
            </w:r>
          </w:p>
        </w:tc>
        <w:tc>
          <w:tcPr>
            <w:tcW w:w="940" w:type="pct"/>
            <w:tcBorders>
              <w:top w:val="nil"/>
              <w:left w:val="nil"/>
              <w:bottom w:val="single" w:color="000000" w:sz="8" w:space="0"/>
              <w:right w:val="single" w:color="000000" w:sz="8" w:space="0"/>
            </w:tcBorders>
            <w:noWrap w:val="0"/>
            <w:vAlign w:val="center"/>
          </w:tcPr>
          <w:p w14:paraId="7B9F877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32,799.46 </w:t>
            </w:r>
          </w:p>
        </w:tc>
        <w:tc>
          <w:tcPr>
            <w:tcW w:w="566" w:type="pct"/>
            <w:tcBorders>
              <w:top w:val="nil"/>
              <w:left w:val="nil"/>
              <w:bottom w:val="single" w:color="000000" w:sz="8" w:space="0"/>
              <w:right w:val="single" w:color="000000" w:sz="8" w:space="0"/>
            </w:tcBorders>
            <w:noWrap w:val="0"/>
            <w:vAlign w:val="center"/>
          </w:tcPr>
          <w:p w14:paraId="3420DAD4">
            <w:pPr>
              <w:jc w:val="both"/>
              <w:rPr>
                <w:rFonts w:hint="eastAsia" w:ascii="Arial Narrow" w:hAnsi="Arial Narrow" w:eastAsia="仿宋_GB2312" w:cs="宋体"/>
                <w:i w:val="0"/>
                <w:iCs w:val="0"/>
                <w:color w:val="000000"/>
                <w:sz w:val="21"/>
                <w:szCs w:val="21"/>
                <w:u w:val="none"/>
              </w:rPr>
            </w:pPr>
          </w:p>
        </w:tc>
      </w:tr>
      <w:tr w14:paraId="049D0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675D11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w:t>
            </w:r>
          </w:p>
        </w:tc>
        <w:tc>
          <w:tcPr>
            <w:tcW w:w="1857" w:type="pct"/>
            <w:tcBorders>
              <w:top w:val="nil"/>
              <w:left w:val="nil"/>
              <w:bottom w:val="single" w:color="000000" w:sz="8" w:space="0"/>
              <w:right w:val="single" w:color="000000" w:sz="8" w:space="0"/>
            </w:tcBorders>
            <w:noWrap w:val="0"/>
            <w:vAlign w:val="center"/>
          </w:tcPr>
          <w:p w14:paraId="054EEB6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衍生金融资产</w:t>
            </w:r>
          </w:p>
        </w:tc>
        <w:tc>
          <w:tcPr>
            <w:tcW w:w="940" w:type="pct"/>
            <w:tcBorders>
              <w:top w:val="nil"/>
              <w:left w:val="nil"/>
              <w:bottom w:val="single" w:color="000000" w:sz="8" w:space="0"/>
              <w:right w:val="single" w:color="000000" w:sz="8" w:space="0"/>
            </w:tcBorders>
            <w:noWrap w:val="0"/>
            <w:vAlign w:val="center"/>
          </w:tcPr>
          <w:p w14:paraId="55EE943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21,047.18 </w:t>
            </w:r>
          </w:p>
        </w:tc>
        <w:tc>
          <w:tcPr>
            <w:tcW w:w="940" w:type="pct"/>
            <w:tcBorders>
              <w:top w:val="nil"/>
              <w:left w:val="nil"/>
              <w:bottom w:val="single" w:color="000000" w:sz="8" w:space="0"/>
              <w:right w:val="single" w:color="000000" w:sz="8" w:space="0"/>
            </w:tcBorders>
            <w:noWrap w:val="0"/>
            <w:vAlign w:val="center"/>
          </w:tcPr>
          <w:p w14:paraId="69E6CCE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21,047.18 </w:t>
            </w:r>
          </w:p>
        </w:tc>
        <w:tc>
          <w:tcPr>
            <w:tcW w:w="566" w:type="pct"/>
            <w:tcBorders>
              <w:top w:val="nil"/>
              <w:left w:val="nil"/>
              <w:bottom w:val="single" w:color="000000" w:sz="8" w:space="0"/>
              <w:right w:val="single" w:color="000000" w:sz="8" w:space="0"/>
            </w:tcBorders>
            <w:noWrap w:val="0"/>
            <w:vAlign w:val="center"/>
          </w:tcPr>
          <w:p w14:paraId="4B53EF37">
            <w:pPr>
              <w:jc w:val="both"/>
              <w:rPr>
                <w:rFonts w:hint="eastAsia" w:ascii="Arial Narrow" w:hAnsi="Arial Narrow" w:eastAsia="仿宋_GB2312" w:cs="宋体"/>
                <w:i w:val="0"/>
                <w:iCs w:val="0"/>
                <w:color w:val="000000"/>
                <w:sz w:val="21"/>
                <w:szCs w:val="21"/>
                <w:u w:val="none"/>
              </w:rPr>
            </w:pPr>
          </w:p>
        </w:tc>
      </w:tr>
      <w:tr w14:paraId="25FD6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06E1AB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6</w:t>
            </w:r>
          </w:p>
        </w:tc>
        <w:tc>
          <w:tcPr>
            <w:tcW w:w="1857" w:type="pct"/>
            <w:tcBorders>
              <w:top w:val="nil"/>
              <w:left w:val="nil"/>
              <w:bottom w:val="single" w:color="000000" w:sz="8" w:space="0"/>
              <w:right w:val="single" w:color="000000" w:sz="8" w:space="0"/>
            </w:tcBorders>
            <w:noWrap w:val="0"/>
            <w:vAlign w:val="center"/>
          </w:tcPr>
          <w:p w14:paraId="3CC8B7C1">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买入返售金融资产</w:t>
            </w:r>
          </w:p>
        </w:tc>
        <w:tc>
          <w:tcPr>
            <w:tcW w:w="940" w:type="pct"/>
            <w:tcBorders>
              <w:top w:val="nil"/>
              <w:left w:val="nil"/>
              <w:bottom w:val="single" w:color="000000" w:sz="8" w:space="0"/>
              <w:right w:val="single" w:color="000000" w:sz="8" w:space="0"/>
            </w:tcBorders>
            <w:noWrap w:val="0"/>
            <w:vAlign w:val="center"/>
          </w:tcPr>
          <w:p w14:paraId="3C0855E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940" w:type="pct"/>
            <w:tcBorders>
              <w:top w:val="nil"/>
              <w:left w:val="nil"/>
              <w:bottom w:val="single" w:color="000000" w:sz="8" w:space="0"/>
              <w:right w:val="single" w:color="000000" w:sz="8" w:space="0"/>
            </w:tcBorders>
            <w:noWrap w:val="0"/>
            <w:vAlign w:val="center"/>
          </w:tcPr>
          <w:p w14:paraId="7B83D97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6734EAB7">
            <w:pPr>
              <w:jc w:val="both"/>
              <w:rPr>
                <w:rFonts w:hint="eastAsia" w:ascii="Arial Narrow" w:hAnsi="Arial Narrow" w:eastAsia="仿宋_GB2312" w:cs="宋体"/>
                <w:i w:val="0"/>
                <w:iCs w:val="0"/>
                <w:color w:val="000000"/>
                <w:sz w:val="21"/>
                <w:szCs w:val="21"/>
                <w:u w:val="none"/>
              </w:rPr>
            </w:pPr>
          </w:p>
        </w:tc>
      </w:tr>
      <w:tr w14:paraId="0CD42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67BA407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7</w:t>
            </w:r>
          </w:p>
        </w:tc>
        <w:tc>
          <w:tcPr>
            <w:tcW w:w="1857" w:type="pct"/>
            <w:tcBorders>
              <w:top w:val="nil"/>
              <w:left w:val="nil"/>
              <w:bottom w:val="single" w:color="000000" w:sz="8" w:space="0"/>
              <w:right w:val="single" w:color="000000" w:sz="8" w:space="0"/>
            </w:tcBorders>
            <w:noWrap w:val="0"/>
            <w:vAlign w:val="center"/>
          </w:tcPr>
          <w:p w14:paraId="35CE933A">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持有待售资产</w:t>
            </w:r>
          </w:p>
        </w:tc>
        <w:tc>
          <w:tcPr>
            <w:tcW w:w="940" w:type="pct"/>
            <w:tcBorders>
              <w:top w:val="nil"/>
              <w:left w:val="nil"/>
              <w:bottom w:val="single" w:color="000000" w:sz="8" w:space="0"/>
              <w:right w:val="single" w:color="000000" w:sz="8" w:space="0"/>
            </w:tcBorders>
            <w:noWrap w:val="0"/>
            <w:vAlign w:val="center"/>
          </w:tcPr>
          <w:p w14:paraId="0FE1381F">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1E62074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085904B0">
            <w:pPr>
              <w:jc w:val="both"/>
              <w:rPr>
                <w:rFonts w:hint="eastAsia" w:ascii="Arial Narrow" w:hAnsi="Arial Narrow" w:eastAsia="仿宋_GB2312" w:cs="宋体"/>
                <w:i w:val="0"/>
                <w:iCs w:val="0"/>
                <w:color w:val="000000"/>
                <w:sz w:val="21"/>
                <w:szCs w:val="21"/>
                <w:u w:val="none"/>
              </w:rPr>
            </w:pPr>
          </w:p>
        </w:tc>
      </w:tr>
      <w:tr w14:paraId="7F873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6443DD3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8</w:t>
            </w:r>
          </w:p>
        </w:tc>
        <w:tc>
          <w:tcPr>
            <w:tcW w:w="1857" w:type="pct"/>
            <w:tcBorders>
              <w:top w:val="nil"/>
              <w:left w:val="nil"/>
              <w:bottom w:val="single" w:color="000000" w:sz="8" w:space="0"/>
              <w:right w:val="single" w:color="000000" w:sz="8" w:space="0"/>
            </w:tcBorders>
            <w:noWrap w:val="0"/>
            <w:vAlign w:val="center"/>
          </w:tcPr>
          <w:p w14:paraId="6526DBC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其他应收款</w:t>
            </w:r>
          </w:p>
        </w:tc>
        <w:tc>
          <w:tcPr>
            <w:tcW w:w="940" w:type="pct"/>
            <w:tcBorders>
              <w:top w:val="nil"/>
              <w:left w:val="nil"/>
              <w:bottom w:val="single" w:color="000000" w:sz="8" w:space="0"/>
              <w:right w:val="single" w:color="000000" w:sz="8" w:space="0"/>
            </w:tcBorders>
            <w:noWrap w:val="0"/>
            <w:vAlign w:val="center"/>
          </w:tcPr>
          <w:p w14:paraId="7CECB701">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6C0D2EE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4502DB08">
            <w:pPr>
              <w:jc w:val="both"/>
              <w:rPr>
                <w:rFonts w:hint="eastAsia" w:ascii="Arial Narrow" w:hAnsi="Arial Narrow" w:eastAsia="仿宋_GB2312" w:cs="宋体"/>
                <w:i w:val="0"/>
                <w:iCs w:val="0"/>
                <w:color w:val="000000"/>
                <w:sz w:val="21"/>
                <w:szCs w:val="21"/>
                <w:u w:val="none"/>
              </w:rPr>
            </w:pPr>
          </w:p>
        </w:tc>
      </w:tr>
      <w:tr w14:paraId="70628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BDBD3B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9</w:t>
            </w:r>
          </w:p>
        </w:tc>
        <w:tc>
          <w:tcPr>
            <w:tcW w:w="1857" w:type="pct"/>
            <w:tcBorders>
              <w:top w:val="nil"/>
              <w:left w:val="nil"/>
              <w:bottom w:val="single" w:color="000000" w:sz="8" w:space="0"/>
              <w:right w:val="single" w:color="000000" w:sz="8" w:space="0"/>
            </w:tcBorders>
            <w:noWrap w:val="0"/>
            <w:vAlign w:val="center"/>
          </w:tcPr>
          <w:p w14:paraId="65DD7B46">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发放贷款和垫款</w:t>
            </w:r>
          </w:p>
        </w:tc>
        <w:tc>
          <w:tcPr>
            <w:tcW w:w="940" w:type="pct"/>
            <w:tcBorders>
              <w:top w:val="nil"/>
              <w:left w:val="nil"/>
              <w:bottom w:val="single" w:color="000000" w:sz="8" w:space="0"/>
              <w:right w:val="single" w:color="000000" w:sz="8" w:space="0"/>
            </w:tcBorders>
            <w:noWrap w:val="0"/>
            <w:vAlign w:val="center"/>
          </w:tcPr>
          <w:p w14:paraId="3E41963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13,776,351.65 </w:t>
            </w:r>
          </w:p>
        </w:tc>
        <w:tc>
          <w:tcPr>
            <w:tcW w:w="940" w:type="pct"/>
            <w:tcBorders>
              <w:top w:val="nil"/>
              <w:left w:val="nil"/>
              <w:bottom w:val="single" w:color="000000" w:sz="8" w:space="0"/>
              <w:right w:val="single" w:color="000000" w:sz="8" w:space="0"/>
            </w:tcBorders>
            <w:noWrap w:val="0"/>
            <w:vAlign w:val="center"/>
          </w:tcPr>
          <w:p w14:paraId="4CD7257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13,776,351.65 </w:t>
            </w:r>
          </w:p>
        </w:tc>
        <w:tc>
          <w:tcPr>
            <w:tcW w:w="566" w:type="pct"/>
            <w:tcBorders>
              <w:top w:val="nil"/>
              <w:left w:val="nil"/>
              <w:bottom w:val="single" w:color="000000" w:sz="8" w:space="0"/>
              <w:right w:val="single" w:color="000000" w:sz="8" w:space="0"/>
            </w:tcBorders>
            <w:noWrap w:val="0"/>
            <w:vAlign w:val="center"/>
          </w:tcPr>
          <w:p w14:paraId="61FA5B76">
            <w:pPr>
              <w:jc w:val="both"/>
              <w:rPr>
                <w:rFonts w:hint="eastAsia" w:ascii="Arial Narrow" w:hAnsi="Arial Narrow" w:eastAsia="仿宋_GB2312" w:cs="宋体"/>
                <w:i w:val="0"/>
                <w:iCs w:val="0"/>
                <w:color w:val="000000"/>
                <w:sz w:val="21"/>
                <w:szCs w:val="21"/>
                <w:u w:val="none"/>
              </w:rPr>
            </w:pPr>
          </w:p>
        </w:tc>
      </w:tr>
      <w:tr w14:paraId="4AF5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C3E5D5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10</w:t>
            </w:r>
          </w:p>
        </w:tc>
        <w:tc>
          <w:tcPr>
            <w:tcW w:w="1857" w:type="pct"/>
            <w:tcBorders>
              <w:top w:val="nil"/>
              <w:left w:val="nil"/>
              <w:bottom w:val="single" w:color="000000" w:sz="8" w:space="0"/>
              <w:right w:val="single" w:color="000000" w:sz="8" w:space="0"/>
            </w:tcBorders>
            <w:noWrap w:val="0"/>
            <w:vAlign w:val="center"/>
          </w:tcPr>
          <w:p w14:paraId="67FEDB8B">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金融投资</w:t>
            </w:r>
          </w:p>
        </w:tc>
        <w:tc>
          <w:tcPr>
            <w:tcW w:w="940" w:type="pct"/>
            <w:tcBorders>
              <w:top w:val="nil"/>
              <w:left w:val="nil"/>
              <w:bottom w:val="single" w:color="000000" w:sz="8" w:space="0"/>
              <w:right w:val="single" w:color="000000" w:sz="8" w:space="0"/>
            </w:tcBorders>
            <w:noWrap w:val="0"/>
            <w:vAlign w:val="center"/>
          </w:tcPr>
          <w:p w14:paraId="25F1429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7,526,861.76 </w:t>
            </w:r>
          </w:p>
        </w:tc>
        <w:tc>
          <w:tcPr>
            <w:tcW w:w="940" w:type="pct"/>
            <w:tcBorders>
              <w:top w:val="nil"/>
              <w:left w:val="nil"/>
              <w:bottom w:val="single" w:color="000000" w:sz="8" w:space="0"/>
              <w:right w:val="single" w:color="000000" w:sz="8" w:space="0"/>
            </w:tcBorders>
            <w:noWrap w:val="0"/>
            <w:vAlign w:val="center"/>
          </w:tcPr>
          <w:p w14:paraId="43B8DAF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7,526,861.76 </w:t>
            </w:r>
          </w:p>
        </w:tc>
        <w:tc>
          <w:tcPr>
            <w:tcW w:w="566" w:type="pct"/>
            <w:tcBorders>
              <w:top w:val="nil"/>
              <w:left w:val="nil"/>
              <w:bottom w:val="single" w:color="000000" w:sz="8" w:space="0"/>
              <w:right w:val="single" w:color="000000" w:sz="8" w:space="0"/>
            </w:tcBorders>
            <w:noWrap w:val="0"/>
            <w:vAlign w:val="center"/>
          </w:tcPr>
          <w:p w14:paraId="04EEA6D6">
            <w:pPr>
              <w:jc w:val="both"/>
              <w:rPr>
                <w:rFonts w:hint="eastAsia" w:ascii="Arial Narrow" w:hAnsi="Arial Narrow" w:eastAsia="仿宋_GB2312" w:cs="宋体"/>
                <w:i w:val="0"/>
                <w:iCs w:val="0"/>
                <w:color w:val="000000"/>
                <w:sz w:val="21"/>
                <w:szCs w:val="21"/>
                <w:u w:val="none"/>
              </w:rPr>
            </w:pPr>
          </w:p>
        </w:tc>
      </w:tr>
      <w:tr w14:paraId="3F80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8B8212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11</w:t>
            </w:r>
          </w:p>
        </w:tc>
        <w:tc>
          <w:tcPr>
            <w:tcW w:w="1857" w:type="pct"/>
            <w:tcBorders>
              <w:top w:val="nil"/>
              <w:left w:val="nil"/>
              <w:bottom w:val="single" w:color="000000" w:sz="8" w:space="0"/>
              <w:right w:val="single" w:color="000000" w:sz="8" w:space="0"/>
            </w:tcBorders>
            <w:noWrap w:val="0"/>
            <w:vAlign w:val="center"/>
          </w:tcPr>
          <w:p w14:paraId="56EECDDE">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其中：交易性金融资产</w:t>
            </w:r>
          </w:p>
        </w:tc>
        <w:tc>
          <w:tcPr>
            <w:tcW w:w="940" w:type="pct"/>
            <w:tcBorders>
              <w:top w:val="nil"/>
              <w:left w:val="nil"/>
              <w:bottom w:val="single" w:color="000000" w:sz="8" w:space="0"/>
              <w:right w:val="single" w:color="000000" w:sz="8" w:space="0"/>
            </w:tcBorders>
            <w:noWrap w:val="0"/>
            <w:vAlign w:val="center"/>
          </w:tcPr>
          <w:p w14:paraId="17F3076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2,289,459.26 </w:t>
            </w:r>
          </w:p>
        </w:tc>
        <w:tc>
          <w:tcPr>
            <w:tcW w:w="940" w:type="pct"/>
            <w:tcBorders>
              <w:top w:val="nil"/>
              <w:left w:val="nil"/>
              <w:bottom w:val="single" w:color="000000" w:sz="8" w:space="0"/>
              <w:right w:val="single" w:color="000000" w:sz="8" w:space="0"/>
            </w:tcBorders>
            <w:noWrap w:val="0"/>
            <w:vAlign w:val="center"/>
          </w:tcPr>
          <w:p w14:paraId="7A36FD9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2,289,459.26 </w:t>
            </w:r>
          </w:p>
        </w:tc>
        <w:tc>
          <w:tcPr>
            <w:tcW w:w="566" w:type="pct"/>
            <w:tcBorders>
              <w:top w:val="nil"/>
              <w:left w:val="nil"/>
              <w:bottom w:val="single" w:color="000000" w:sz="8" w:space="0"/>
              <w:right w:val="single" w:color="000000" w:sz="8" w:space="0"/>
            </w:tcBorders>
            <w:noWrap w:val="0"/>
            <w:vAlign w:val="center"/>
          </w:tcPr>
          <w:p w14:paraId="53C27889">
            <w:pPr>
              <w:jc w:val="both"/>
              <w:rPr>
                <w:rFonts w:hint="eastAsia" w:ascii="Arial Narrow" w:hAnsi="Arial Narrow" w:eastAsia="仿宋_GB2312" w:cs="宋体"/>
                <w:i w:val="0"/>
                <w:iCs w:val="0"/>
                <w:color w:val="000000"/>
                <w:sz w:val="21"/>
                <w:szCs w:val="21"/>
                <w:u w:val="none"/>
              </w:rPr>
            </w:pPr>
          </w:p>
        </w:tc>
      </w:tr>
      <w:tr w14:paraId="781C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242B5F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12</w:t>
            </w:r>
          </w:p>
        </w:tc>
        <w:tc>
          <w:tcPr>
            <w:tcW w:w="1857" w:type="pct"/>
            <w:tcBorders>
              <w:top w:val="nil"/>
              <w:left w:val="nil"/>
              <w:bottom w:val="single" w:color="000000" w:sz="8" w:space="0"/>
              <w:right w:val="single" w:color="000000" w:sz="8" w:space="0"/>
            </w:tcBorders>
            <w:noWrap w:val="0"/>
            <w:vAlign w:val="center"/>
          </w:tcPr>
          <w:p w14:paraId="7476CB48">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其中：债权投资</w:t>
            </w:r>
          </w:p>
        </w:tc>
        <w:tc>
          <w:tcPr>
            <w:tcW w:w="940" w:type="pct"/>
            <w:tcBorders>
              <w:top w:val="nil"/>
              <w:left w:val="nil"/>
              <w:bottom w:val="single" w:color="000000" w:sz="8" w:space="0"/>
              <w:right w:val="single" w:color="000000" w:sz="8" w:space="0"/>
            </w:tcBorders>
            <w:noWrap w:val="0"/>
            <w:vAlign w:val="center"/>
          </w:tcPr>
          <w:p w14:paraId="638A38F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2,735,288.21 </w:t>
            </w:r>
          </w:p>
        </w:tc>
        <w:tc>
          <w:tcPr>
            <w:tcW w:w="940" w:type="pct"/>
            <w:tcBorders>
              <w:top w:val="nil"/>
              <w:left w:val="nil"/>
              <w:bottom w:val="single" w:color="000000" w:sz="8" w:space="0"/>
              <w:right w:val="single" w:color="000000" w:sz="8" w:space="0"/>
            </w:tcBorders>
            <w:noWrap w:val="0"/>
            <w:vAlign w:val="center"/>
          </w:tcPr>
          <w:p w14:paraId="6EADE71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2,735,288.21 </w:t>
            </w:r>
          </w:p>
        </w:tc>
        <w:tc>
          <w:tcPr>
            <w:tcW w:w="566" w:type="pct"/>
            <w:tcBorders>
              <w:top w:val="nil"/>
              <w:left w:val="nil"/>
              <w:bottom w:val="single" w:color="000000" w:sz="8" w:space="0"/>
              <w:right w:val="single" w:color="000000" w:sz="8" w:space="0"/>
            </w:tcBorders>
            <w:noWrap w:val="0"/>
            <w:vAlign w:val="center"/>
          </w:tcPr>
          <w:p w14:paraId="25BA7B46">
            <w:pPr>
              <w:jc w:val="both"/>
              <w:rPr>
                <w:rFonts w:hint="eastAsia" w:ascii="Arial Narrow" w:hAnsi="Arial Narrow" w:eastAsia="仿宋_GB2312" w:cs="宋体"/>
                <w:i w:val="0"/>
                <w:iCs w:val="0"/>
                <w:color w:val="000000"/>
                <w:sz w:val="21"/>
                <w:szCs w:val="21"/>
                <w:u w:val="none"/>
              </w:rPr>
            </w:pPr>
          </w:p>
        </w:tc>
      </w:tr>
      <w:tr w14:paraId="61E1F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95D574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13</w:t>
            </w:r>
          </w:p>
        </w:tc>
        <w:tc>
          <w:tcPr>
            <w:tcW w:w="1857" w:type="pct"/>
            <w:tcBorders>
              <w:top w:val="nil"/>
              <w:left w:val="nil"/>
              <w:bottom w:val="single" w:color="000000" w:sz="8" w:space="0"/>
              <w:right w:val="single" w:color="000000" w:sz="8" w:space="0"/>
            </w:tcBorders>
            <w:noWrap w:val="0"/>
            <w:vAlign w:val="center"/>
          </w:tcPr>
          <w:p w14:paraId="4D00EF18">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其中：其他债权投资</w:t>
            </w:r>
          </w:p>
        </w:tc>
        <w:tc>
          <w:tcPr>
            <w:tcW w:w="940" w:type="pct"/>
            <w:tcBorders>
              <w:top w:val="nil"/>
              <w:left w:val="nil"/>
              <w:bottom w:val="single" w:color="000000" w:sz="8" w:space="0"/>
              <w:right w:val="single" w:color="000000" w:sz="8" w:space="0"/>
            </w:tcBorders>
            <w:noWrap w:val="0"/>
            <w:vAlign w:val="center"/>
          </w:tcPr>
          <w:p w14:paraId="11FE3CF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2,462,551.01 </w:t>
            </w:r>
          </w:p>
        </w:tc>
        <w:tc>
          <w:tcPr>
            <w:tcW w:w="940" w:type="pct"/>
            <w:tcBorders>
              <w:top w:val="nil"/>
              <w:left w:val="nil"/>
              <w:bottom w:val="single" w:color="000000" w:sz="8" w:space="0"/>
              <w:right w:val="single" w:color="000000" w:sz="8" w:space="0"/>
            </w:tcBorders>
            <w:noWrap w:val="0"/>
            <w:vAlign w:val="center"/>
          </w:tcPr>
          <w:p w14:paraId="28D8A69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2,462,551.01 </w:t>
            </w:r>
          </w:p>
        </w:tc>
        <w:tc>
          <w:tcPr>
            <w:tcW w:w="566" w:type="pct"/>
            <w:tcBorders>
              <w:top w:val="nil"/>
              <w:left w:val="nil"/>
              <w:bottom w:val="single" w:color="000000" w:sz="8" w:space="0"/>
              <w:right w:val="single" w:color="000000" w:sz="8" w:space="0"/>
            </w:tcBorders>
            <w:noWrap w:val="0"/>
            <w:vAlign w:val="center"/>
          </w:tcPr>
          <w:p w14:paraId="57CC30E2">
            <w:pPr>
              <w:jc w:val="both"/>
              <w:rPr>
                <w:rFonts w:hint="eastAsia" w:ascii="Arial Narrow" w:hAnsi="Arial Narrow" w:eastAsia="仿宋_GB2312" w:cs="宋体"/>
                <w:i w:val="0"/>
                <w:iCs w:val="0"/>
                <w:color w:val="000000"/>
                <w:sz w:val="21"/>
                <w:szCs w:val="21"/>
                <w:u w:val="none"/>
              </w:rPr>
            </w:pPr>
          </w:p>
        </w:tc>
      </w:tr>
      <w:tr w14:paraId="2154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B76343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14</w:t>
            </w:r>
          </w:p>
        </w:tc>
        <w:tc>
          <w:tcPr>
            <w:tcW w:w="1857" w:type="pct"/>
            <w:tcBorders>
              <w:top w:val="nil"/>
              <w:left w:val="nil"/>
              <w:bottom w:val="single" w:color="000000" w:sz="8" w:space="0"/>
              <w:right w:val="single" w:color="000000" w:sz="8" w:space="0"/>
            </w:tcBorders>
            <w:noWrap w:val="0"/>
            <w:vAlign w:val="center"/>
          </w:tcPr>
          <w:p w14:paraId="649EF8AE">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其中：其他权益工具投资</w:t>
            </w:r>
          </w:p>
        </w:tc>
        <w:tc>
          <w:tcPr>
            <w:tcW w:w="940" w:type="pct"/>
            <w:tcBorders>
              <w:top w:val="nil"/>
              <w:left w:val="nil"/>
              <w:bottom w:val="single" w:color="000000" w:sz="8" w:space="0"/>
              <w:right w:val="single" w:color="000000" w:sz="8" w:space="0"/>
            </w:tcBorders>
            <w:noWrap w:val="0"/>
            <w:vAlign w:val="center"/>
          </w:tcPr>
          <w:p w14:paraId="2A6B83D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39,563.28 </w:t>
            </w:r>
          </w:p>
        </w:tc>
        <w:tc>
          <w:tcPr>
            <w:tcW w:w="940" w:type="pct"/>
            <w:tcBorders>
              <w:top w:val="nil"/>
              <w:left w:val="nil"/>
              <w:bottom w:val="single" w:color="000000" w:sz="8" w:space="0"/>
              <w:right w:val="single" w:color="000000" w:sz="8" w:space="0"/>
            </w:tcBorders>
            <w:noWrap w:val="0"/>
            <w:vAlign w:val="center"/>
          </w:tcPr>
          <w:p w14:paraId="3893399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39,563.28 </w:t>
            </w:r>
          </w:p>
        </w:tc>
        <w:tc>
          <w:tcPr>
            <w:tcW w:w="566" w:type="pct"/>
            <w:tcBorders>
              <w:top w:val="nil"/>
              <w:left w:val="nil"/>
              <w:bottom w:val="single" w:color="000000" w:sz="8" w:space="0"/>
              <w:right w:val="single" w:color="000000" w:sz="8" w:space="0"/>
            </w:tcBorders>
            <w:noWrap w:val="0"/>
            <w:vAlign w:val="center"/>
          </w:tcPr>
          <w:p w14:paraId="519D7398">
            <w:pPr>
              <w:jc w:val="both"/>
              <w:rPr>
                <w:rFonts w:hint="eastAsia" w:ascii="Arial Narrow" w:hAnsi="Arial Narrow" w:eastAsia="仿宋_GB2312" w:cs="宋体"/>
                <w:i w:val="0"/>
                <w:iCs w:val="0"/>
                <w:color w:val="000000"/>
                <w:sz w:val="21"/>
                <w:szCs w:val="21"/>
                <w:u w:val="none"/>
              </w:rPr>
            </w:pPr>
          </w:p>
        </w:tc>
      </w:tr>
      <w:tr w14:paraId="6509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A79085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15</w:t>
            </w:r>
          </w:p>
        </w:tc>
        <w:tc>
          <w:tcPr>
            <w:tcW w:w="1857" w:type="pct"/>
            <w:tcBorders>
              <w:top w:val="nil"/>
              <w:left w:val="nil"/>
              <w:bottom w:val="single" w:color="000000" w:sz="8" w:space="0"/>
              <w:right w:val="single" w:color="000000" w:sz="8" w:space="0"/>
            </w:tcBorders>
            <w:noWrap w:val="0"/>
            <w:vAlign w:val="center"/>
          </w:tcPr>
          <w:p w14:paraId="3E303E97">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长期股权投资</w:t>
            </w:r>
          </w:p>
        </w:tc>
        <w:tc>
          <w:tcPr>
            <w:tcW w:w="940" w:type="pct"/>
            <w:tcBorders>
              <w:top w:val="nil"/>
              <w:left w:val="nil"/>
              <w:bottom w:val="single" w:color="000000" w:sz="8" w:space="0"/>
              <w:right w:val="single" w:color="000000" w:sz="8" w:space="0"/>
            </w:tcBorders>
            <w:noWrap w:val="0"/>
            <w:vAlign w:val="center"/>
          </w:tcPr>
          <w:p w14:paraId="6968C63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97,112.51 </w:t>
            </w:r>
          </w:p>
        </w:tc>
        <w:tc>
          <w:tcPr>
            <w:tcW w:w="940" w:type="pct"/>
            <w:tcBorders>
              <w:top w:val="nil"/>
              <w:left w:val="nil"/>
              <w:bottom w:val="single" w:color="000000" w:sz="8" w:space="0"/>
              <w:right w:val="single" w:color="000000" w:sz="8" w:space="0"/>
            </w:tcBorders>
            <w:noWrap w:val="0"/>
            <w:vAlign w:val="center"/>
          </w:tcPr>
          <w:p w14:paraId="2F03A2E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97,112.51 </w:t>
            </w:r>
          </w:p>
        </w:tc>
        <w:tc>
          <w:tcPr>
            <w:tcW w:w="566" w:type="pct"/>
            <w:tcBorders>
              <w:top w:val="nil"/>
              <w:left w:val="nil"/>
              <w:bottom w:val="single" w:color="000000" w:sz="8" w:space="0"/>
              <w:right w:val="single" w:color="000000" w:sz="8" w:space="0"/>
            </w:tcBorders>
            <w:noWrap w:val="0"/>
            <w:vAlign w:val="center"/>
          </w:tcPr>
          <w:p w14:paraId="18F13C78">
            <w:pPr>
              <w:jc w:val="both"/>
              <w:rPr>
                <w:rFonts w:hint="eastAsia" w:ascii="Arial Narrow" w:hAnsi="Arial Narrow" w:eastAsia="仿宋_GB2312" w:cs="宋体"/>
                <w:i w:val="0"/>
                <w:iCs w:val="0"/>
                <w:color w:val="000000"/>
                <w:sz w:val="21"/>
                <w:szCs w:val="21"/>
                <w:u w:val="none"/>
              </w:rPr>
            </w:pPr>
          </w:p>
        </w:tc>
      </w:tr>
      <w:tr w14:paraId="0C521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881F60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16</w:t>
            </w:r>
          </w:p>
        </w:tc>
        <w:tc>
          <w:tcPr>
            <w:tcW w:w="1857" w:type="pct"/>
            <w:tcBorders>
              <w:top w:val="nil"/>
              <w:left w:val="nil"/>
              <w:bottom w:val="single" w:color="000000" w:sz="8" w:space="0"/>
              <w:right w:val="single" w:color="000000" w:sz="8" w:space="0"/>
            </w:tcBorders>
            <w:noWrap w:val="0"/>
            <w:vAlign w:val="center"/>
          </w:tcPr>
          <w:p w14:paraId="09CE0D03">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投资性房地产</w:t>
            </w:r>
          </w:p>
        </w:tc>
        <w:tc>
          <w:tcPr>
            <w:tcW w:w="940" w:type="pct"/>
            <w:tcBorders>
              <w:top w:val="nil"/>
              <w:left w:val="nil"/>
              <w:bottom w:val="single" w:color="000000" w:sz="8" w:space="0"/>
              <w:right w:val="single" w:color="000000" w:sz="8" w:space="0"/>
            </w:tcBorders>
            <w:noWrap w:val="0"/>
            <w:vAlign w:val="center"/>
          </w:tcPr>
          <w:p w14:paraId="0266F38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8,414.39 </w:t>
            </w:r>
          </w:p>
        </w:tc>
        <w:tc>
          <w:tcPr>
            <w:tcW w:w="940" w:type="pct"/>
            <w:tcBorders>
              <w:top w:val="nil"/>
              <w:left w:val="nil"/>
              <w:bottom w:val="single" w:color="000000" w:sz="8" w:space="0"/>
              <w:right w:val="single" w:color="000000" w:sz="8" w:space="0"/>
            </w:tcBorders>
            <w:noWrap w:val="0"/>
            <w:vAlign w:val="center"/>
          </w:tcPr>
          <w:p w14:paraId="77ABD5E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8,414.39 </w:t>
            </w:r>
          </w:p>
        </w:tc>
        <w:tc>
          <w:tcPr>
            <w:tcW w:w="566" w:type="pct"/>
            <w:tcBorders>
              <w:top w:val="nil"/>
              <w:left w:val="nil"/>
              <w:bottom w:val="single" w:color="000000" w:sz="8" w:space="0"/>
              <w:right w:val="single" w:color="000000" w:sz="8" w:space="0"/>
            </w:tcBorders>
            <w:noWrap w:val="0"/>
            <w:vAlign w:val="center"/>
          </w:tcPr>
          <w:p w14:paraId="6D88B825">
            <w:pPr>
              <w:jc w:val="both"/>
              <w:rPr>
                <w:rFonts w:hint="eastAsia" w:ascii="Arial Narrow" w:hAnsi="Arial Narrow" w:eastAsia="仿宋_GB2312" w:cs="宋体"/>
                <w:i w:val="0"/>
                <w:iCs w:val="0"/>
                <w:color w:val="000000"/>
                <w:sz w:val="21"/>
                <w:szCs w:val="21"/>
                <w:u w:val="none"/>
              </w:rPr>
            </w:pPr>
          </w:p>
        </w:tc>
      </w:tr>
      <w:tr w14:paraId="4297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712E9E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17</w:t>
            </w:r>
          </w:p>
        </w:tc>
        <w:tc>
          <w:tcPr>
            <w:tcW w:w="1857" w:type="pct"/>
            <w:tcBorders>
              <w:top w:val="nil"/>
              <w:left w:val="nil"/>
              <w:bottom w:val="single" w:color="000000" w:sz="8" w:space="0"/>
              <w:right w:val="single" w:color="000000" w:sz="8" w:space="0"/>
            </w:tcBorders>
            <w:noWrap w:val="0"/>
            <w:vAlign w:val="center"/>
          </w:tcPr>
          <w:p w14:paraId="717A4512">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固定资产</w:t>
            </w:r>
          </w:p>
        </w:tc>
        <w:tc>
          <w:tcPr>
            <w:tcW w:w="940" w:type="pct"/>
            <w:tcBorders>
              <w:top w:val="nil"/>
              <w:left w:val="nil"/>
              <w:bottom w:val="single" w:color="000000" w:sz="8" w:space="0"/>
              <w:right w:val="single" w:color="000000" w:sz="8" w:space="0"/>
            </w:tcBorders>
            <w:noWrap w:val="0"/>
            <w:vAlign w:val="center"/>
          </w:tcPr>
          <w:p w14:paraId="3AE2EBC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97,053.44 </w:t>
            </w:r>
          </w:p>
        </w:tc>
        <w:tc>
          <w:tcPr>
            <w:tcW w:w="940" w:type="pct"/>
            <w:tcBorders>
              <w:top w:val="nil"/>
              <w:left w:val="nil"/>
              <w:bottom w:val="single" w:color="000000" w:sz="8" w:space="0"/>
              <w:right w:val="single" w:color="000000" w:sz="8" w:space="0"/>
            </w:tcBorders>
            <w:noWrap w:val="0"/>
            <w:vAlign w:val="center"/>
          </w:tcPr>
          <w:p w14:paraId="79E5D4F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97,053.44 </w:t>
            </w:r>
          </w:p>
        </w:tc>
        <w:tc>
          <w:tcPr>
            <w:tcW w:w="566" w:type="pct"/>
            <w:tcBorders>
              <w:top w:val="nil"/>
              <w:left w:val="nil"/>
              <w:bottom w:val="single" w:color="000000" w:sz="8" w:space="0"/>
              <w:right w:val="single" w:color="000000" w:sz="8" w:space="0"/>
            </w:tcBorders>
            <w:noWrap w:val="0"/>
            <w:vAlign w:val="center"/>
          </w:tcPr>
          <w:p w14:paraId="2E7ADD66">
            <w:pPr>
              <w:jc w:val="both"/>
              <w:rPr>
                <w:rFonts w:hint="eastAsia" w:ascii="Arial Narrow" w:hAnsi="Arial Narrow" w:eastAsia="仿宋_GB2312" w:cs="宋体"/>
                <w:i w:val="0"/>
                <w:iCs w:val="0"/>
                <w:color w:val="000000"/>
                <w:sz w:val="21"/>
                <w:szCs w:val="21"/>
                <w:u w:val="none"/>
              </w:rPr>
            </w:pPr>
          </w:p>
        </w:tc>
      </w:tr>
      <w:tr w14:paraId="122F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8FC85B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18</w:t>
            </w:r>
          </w:p>
        </w:tc>
        <w:tc>
          <w:tcPr>
            <w:tcW w:w="1857" w:type="pct"/>
            <w:tcBorders>
              <w:top w:val="nil"/>
              <w:left w:val="nil"/>
              <w:bottom w:val="single" w:color="000000" w:sz="8" w:space="0"/>
              <w:right w:val="single" w:color="000000" w:sz="8" w:space="0"/>
            </w:tcBorders>
            <w:noWrap w:val="0"/>
            <w:vAlign w:val="center"/>
          </w:tcPr>
          <w:p w14:paraId="502976F7">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在建工程</w:t>
            </w:r>
          </w:p>
        </w:tc>
        <w:tc>
          <w:tcPr>
            <w:tcW w:w="940" w:type="pct"/>
            <w:tcBorders>
              <w:top w:val="nil"/>
              <w:left w:val="nil"/>
              <w:bottom w:val="single" w:color="000000" w:sz="8" w:space="0"/>
              <w:right w:val="single" w:color="000000" w:sz="8" w:space="0"/>
            </w:tcBorders>
            <w:noWrap w:val="0"/>
            <w:vAlign w:val="center"/>
          </w:tcPr>
          <w:p w14:paraId="0DF5BA6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1,374.86 </w:t>
            </w:r>
          </w:p>
        </w:tc>
        <w:tc>
          <w:tcPr>
            <w:tcW w:w="940" w:type="pct"/>
            <w:tcBorders>
              <w:top w:val="nil"/>
              <w:left w:val="nil"/>
              <w:bottom w:val="single" w:color="000000" w:sz="8" w:space="0"/>
              <w:right w:val="single" w:color="000000" w:sz="8" w:space="0"/>
            </w:tcBorders>
            <w:noWrap w:val="0"/>
            <w:vAlign w:val="center"/>
          </w:tcPr>
          <w:p w14:paraId="77E68BA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1,374.86 </w:t>
            </w:r>
          </w:p>
        </w:tc>
        <w:tc>
          <w:tcPr>
            <w:tcW w:w="566" w:type="pct"/>
            <w:tcBorders>
              <w:top w:val="nil"/>
              <w:left w:val="nil"/>
              <w:bottom w:val="single" w:color="000000" w:sz="8" w:space="0"/>
              <w:right w:val="single" w:color="000000" w:sz="8" w:space="0"/>
            </w:tcBorders>
            <w:noWrap w:val="0"/>
            <w:vAlign w:val="center"/>
          </w:tcPr>
          <w:p w14:paraId="656EBF2F">
            <w:pPr>
              <w:jc w:val="both"/>
              <w:rPr>
                <w:rFonts w:hint="eastAsia" w:ascii="Arial Narrow" w:hAnsi="Arial Narrow" w:eastAsia="仿宋_GB2312" w:cs="宋体"/>
                <w:i w:val="0"/>
                <w:iCs w:val="0"/>
                <w:color w:val="000000"/>
                <w:sz w:val="21"/>
                <w:szCs w:val="21"/>
                <w:u w:val="none"/>
              </w:rPr>
            </w:pPr>
          </w:p>
        </w:tc>
      </w:tr>
      <w:tr w14:paraId="324D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EF6907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19</w:t>
            </w:r>
          </w:p>
        </w:tc>
        <w:tc>
          <w:tcPr>
            <w:tcW w:w="1857" w:type="pct"/>
            <w:tcBorders>
              <w:top w:val="nil"/>
              <w:left w:val="nil"/>
              <w:bottom w:val="single" w:color="000000" w:sz="8" w:space="0"/>
              <w:right w:val="single" w:color="000000" w:sz="8" w:space="0"/>
            </w:tcBorders>
            <w:noWrap w:val="0"/>
            <w:vAlign w:val="center"/>
          </w:tcPr>
          <w:p w14:paraId="11AF8CB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使用权资产</w:t>
            </w:r>
          </w:p>
        </w:tc>
        <w:tc>
          <w:tcPr>
            <w:tcW w:w="940" w:type="pct"/>
            <w:tcBorders>
              <w:top w:val="nil"/>
              <w:left w:val="nil"/>
              <w:bottom w:val="single" w:color="000000" w:sz="8" w:space="0"/>
              <w:right w:val="single" w:color="000000" w:sz="8" w:space="0"/>
            </w:tcBorders>
            <w:noWrap w:val="0"/>
            <w:vAlign w:val="center"/>
          </w:tcPr>
          <w:p w14:paraId="2EB4912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769.42 </w:t>
            </w:r>
          </w:p>
        </w:tc>
        <w:tc>
          <w:tcPr>
            <w:tcW w:w="940" w:type="pct"/>
            <w:tcBorders>
              <w:top w:val="nil"/>
              <w:left w:val="nil"/>
              <w:bottom w:val="single" w:color="000000" w:sz="8" w:space="0"/>
              <w:right w:val="single" w:color="000000" w:sz="8" w:space="0"/>
            </w:tcBorders>
            <w:noWrap w:val="0"/>
            <w:vAlign w:val="center"/>
          </w:tcPr>
          <w:p w14:paraId="6EE6E93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769.42 </w:t>
            </w:r>
          </w:p>
        </w:tc>
        <w:tc>
          <w:tcPr>
            <w:tcW w:w="566" w:type="pct"/>
            <w:tcBorders>
              <w:top w:val="nil"/>
              <w:left w:val="nil"/>
              <w:bottom w:val="single" w:color="000000" w:sz="8" w:space="0"/>
              <w:right w:val="single" w:color="000000" w:sz="8" w:space="0"/>
            </w:tcBorders>
            <w:noWrap w:val="0"/>
            <w:vAlign w:val="center"/>
          </w:tcPr>
          <w:p w14:paraId="3494A823">
            <w:pPr>
              <w:jc w:val="both"/>
              <w:rPr>
                <w:rFonts w:hint="eastAsia" w:ascii="Arial Narrow" w:hAnsi="Arial Narrow" w:eastAsia="仿宋_GB2312" w:cs="宋体"/>
                <w:i w:val="0"/>
                <w:iCs w:val="0"/>
                <w:color w:val="000000"/>
                <w:sz w:val="21"/>
                <w:szCs w:val="21"/>
                <w:u w:val="none"/>
              </w:rPr>
            </w:pPr>
          </w:p>
        </w:tc>
      </w:tr>
      <w:tr w14:paraId="38AC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BBA109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20</w:t>
            </w:r>
          </w:p>
        </w:tc>
        <w:tc>
          <w:tcPr>
            <w:tcW w:w="1857" w:type="pct"/>
            <w:tcBorders>
              <w:top w:val="nil"/>
              <w:left w:val="nil"/>
              <w:bottom w:val="single" w:color="000000" w:sz="8" w:space="0"/>
              <w:right w:val="single" w:color="000000" w:sz="8" w:space="0"/>
            </w:tcBorders>
            <w:noWrap w:val="0"/>
            <w:vAlign w:val="center"/>
          </w:tcPr>
          <w:p w14:paraId="646D164D">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商誉</w:t>
            </w:r>
          </w:p>
        </w:tc>
        <w:tc>
          <w:tcPr>
            <w:tcW w:w="940" w:type="pct"/>
            <w:tcBorders>
              <w:top w:val="nil"/>
              <w:left w:val="nil"/>
              <w:bottom w:val="single" w:color="000000" w:sz="8" w:space="0"/>
              <w:right w:val="single" w:color="000000" w:sz="8" w:space="0"/>
            </w:tcBorders>
            <w:noWrap w:val="0"/>
            <w:vAlign w:val="center"/>
          </w:tcPr>
          <w:p w14:paraId="45D16745">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115DC45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72F4574A">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a</w:t>
            </w:r>
          </w:p>
        </w:tc>
      </w:tr>
      <w:tr w14:paraId="21A2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12C0115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21</w:t>
            </w:r>
          </w:p>
        </w:tc>
        <w:tc>
          <w:tcPr>
            <w:tcW w:w="1857" w:type="pct"/>
            <w:tcBorders>
              <w:top w:val="nil"/>
              <w:left w:val="nil"/>
              <w:bottom w:val="single" w:color="000000" w:sz="8" w:space="0"/>
              <w:right w:val="single" w:color="000000" w:sz="8" w:space="0"/>
            </w:tcBorders>
            <w:noWrap w:val="0"/>
            <w:vAlign w:val="center"/>
          </w:tcPr>
          <w:p w14:paraId="2E17FEEE">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无形资产</w:t>
            </w:r>
          </w:p>
        </w:tc>
        <w:tc>
          <w:tcPr>
            <w:tcW w:w="940" w:type="pct"/>
            <w:tcBorders>
              <w:top w:val="nil"/>
              <w:left w:val="nil"/>
              <w:bottom w:val="single" w:color="000000" w:sz="8" w:space="0"/>
              <w:right w:val="single" w:color="000000" w:sz="8" w:space="0"/>
            </w:tcBorders>
            <w:noWrap w:val="0"/>
            <w:vAlign w:val="center"/>
          </w:tcPr>
          <w:p w14:paraId="748A0B3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29,435.40 </w:t>
            </w:r>
          </w:p>
        </w:tc>
        <w:tc>
          <w:tcPr>
            <w:tcW w:w="940" w:type="pct"/>
            <w:tcBorders>
              <w:top w:val="nil"/>
              <w:left w:val="nil"/>
              <w:bottom w:val="single" w:color="000000" w:sz="8" w:space="0"/>
              <w:right w:val="single" w:color="000000" w:sz="8" w:space="0"/>
            </w:tcBorders>
            <w:noWrap w:val="0"/>
            <w:vAlign w:val="center"/>
          </w:tcPr>
          <w:p w14:paraId="1E3A1F0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29,435.40 </w:t>
            </w:r>
          </w:p>
        </w:tc>
        <w:tc>
          <w:tcPr>
            <w:tcW w:w="566" w:type="pct"/>
            <w:tcBorders>
              <w:top w:val="nil"/>
              <w:left w:val="nil"/>
              <w:bottom w:val="single" w:color="000000" w:sz="8" w:space="0"/>
              <w:right w:val="single" w:color="000000" w:sz="8" w:space="0"/>
            </w:tcBorders>
            <w:noWrap w:val="0"/>
            <w:vAlign w:val="center"/>
          </w:tcPr>
          <w:p w14:paraId="0C5D12E0">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b</w:t>
            </w:r>
          </w:p>
        </w:tc>
      </w:tr>
      <w:tr w14:paraId="612A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E592EA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22</w:t>
            </w:r>
          </w:p>
        </w:tc>
        <w:tc>
          <w:tcPr>
            <w:tcW w:w="1857" w:type="pct"/>
            <w:tcBorders>
              <w:top w:val="nil"/>
              <w:left w:val="nil"/>
              <w:bottom w:val="single" w:color="000000" w:sz="8" w:space="0"/>
              <w:right w:val="single" w:color="000000" w:sz="8" w:space="0"/>
            </w:tcBorders>
            <w:noWrap w:val="0"/>
            <w:vAlign w:val="center"/>
          </w:tcPr>
          <w:p w14:paraId="75B42CF5">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长期待摊费用</w:t>
            </w:r>
          </w:p>
        </w:tc>
        <w:tc>
          <w:tcPr>
            <w:tcW w:w="940" w:type="pct"/>
            <w:tcBorders>
              <w:top w:val="nil"/>
              <w:left w:val="nil"/>
              <w:bottom w:val="single" w:color="000000" w:sz="8" w:space="0"/>
              <w:right w:val="single" w:color="000000" w:sz="8" w:space="0"/>
            </w:tcBorders>
            <w:noWrap w:val="0"/>
            <w:vAlign w:val="center"/>
          </w:tcPr>
          <w:p w14:paraId="27A9BDE7">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3924C19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353FA273">
            <w:pPr>
              <w:jc w:val="both"/>
              <w:rPr>
                <w:rFonts w:hint="eastAsia" w:ascii="Arial Narrow" w:hAnsi="Arial Narrow" w:eastAsia="仿宋_GB2312" w:cs="宋体"/>
                <w:i w:val="0"/>
                <w:iCs w:val="0"/>
                <w:color w:val="000000"/>
                <w:sz w:val="21"/>
                <w:szCs w:val="21"/>
                <w:u w:val="none"/>
              </w:rPr>
            </w:pPr>
          </w:p>
        </w:tc>
      </w:tr>
      <w:tr w14:paraId="38E7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1FAF253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23</w:t>
            </w:r>
          </w:p>
        </w:tc>
        <w:tc>
          <w:tcPr>
            <w:tcW w:w="1857" w:type="pct"/>
            <w:tcBorders>
              <w:top w:val="nil"/>
              <w:left w:val="nil"/>
              <w:bottom w:val="single" w:color="000000" w:sz="8" w:space="0"/>
              <w:right w:val="single" w:color="000000" w:sz="8" w:space="0"/>
            </w:tcBorders>
            <w:noWrap w:val="0"/>
            <w:vAlign w:val="center"/>
          </w:tcPr>
          <w:p w14:paraId="45BBE5C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抵债资产</w:t>
            </w:r>
          </w:p>
        </w:tc>
        <w:tc>
          <w:tcPr>
            <w:tcW w:w="940" w:type="pct"/>
            <w:tcBorders>
              <w:top w:val="nil"/>
              <w:left w:val="nil"/>
              <w:bottom w:val="single" w:color="000000" w:sz="8" w:space="0"/>
              <w:right w:val="single" w:color="000000" w:sz="8" w:space="0"/>
            </w:tcBorders>
            <w:noWrap w:val="0"/>
            <w:vAlign w:val="center"/>
          </w:tcPr>
          <w:p w14:paraId="5A0BF475">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4E0002A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061277F8">
            <w:pPr>
              <w:jc w:val="both"/>
              <w:rPr>
                <w:rFonts w:hint="eastAsia" w:ascii="Arial Narrow" w:hAnsi="Arial Narrow" w:eastAsia="仿宋_GB2312" w:cs="宋体"/>
                <w:i w:val="0"/>
                <w:iCs w:val="0"/>
                <w:color w:val="000000"/>
                <w:sz w:val="21"/>
                <w:szCs w:val="21"/>
                <w:u w:val="none"/>
              </w:rPr>
            </w:pPr>
          </w:p>
        </w:tc>
      </w:tr>
      <w:tr w14:paraId="3995E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774ACD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24</w:t>
            </w:r>
          </w:p>
        </w:tc>
        <w:tc>
          <w:tcPr>
            <w:tcW w:w="1857" w:type="pct"/>
            <w:tcBorders>
              <w:top w:val="nil"/>
              <w:left w:val="nil"/>
              <w:bottom w:val="single" w:color="000000" w:sz="8" w:space="0"/>
              <w:right w:val="single" w:color="000000" w:sz="8" w:space="0"/>
            </w:tcBorders>
            <w:noWrap w:val="0"/>
            <w:vAlign w:val="center"/>
          </w:tcPr>
          <w:p w14:paraId="1E16655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递延所得税资产</w:t>
            </w:r>
          </w:p>
        </w:tc>
        <w:tc>
          <w:tcPr>
            <w:tcW w:w="940" w:type="pct"/>
            <w:tcBorders>
              <w:top w:val="nil"/>
              <w:left w:val="nil"/>
              <w:bottom w:val="single" w:color="000000" w:sz="8" w:space="0"/>
              <w:right w:val="single" w:color="000000" w:sz="8" w:space="0"/>
            </w:tcBorders>
            <w:noWrap w:val="0"/>
            <w:vAlign w:val="center"/>
          </w:tcPr>
          <w:p w14:paraId="121A3BD1">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129,372.63 </w:t>
            </w:r>
          </w:p>
        </w:tc>
        <w:tc>
          <w:tcPr>
            <w:tcW w:w="940" w:type="pct"/>
            <w:tcBorders>
              <w:top w:val="nil"/>
              <w:left w:val="nil"/>
              <w:bottom w:val="single" w:color="000000" w:sz="8" w:space="0"/>
              <w:right w:val="single" w:color="000000" w:sz="8" w:space="0"/>
            </w:tcBorders>
            <w:noWrap w:val="0"/>
            <w:vAlign w:val="center"/>
          </w:tcPr>
          <w:p w14:paraId="6ED8242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129,372.63 </w:t>
            </w:r>
          </w:p>
        </w:tc>
        <w:tc>
          <w:tcPr>
            <w:tcW w:w="566" w:type="pct"/>
            <w:tcBorders>
              <w:top w:val="nil"/>
              <w:left w:val="nil"/>
              <w:bottom w:val="single" w:color="000000" w:sz="8" w:space="0"/>
              <w:right w:val="single" w:color="000000" w:sz="8" w:space="0"/>
            </w:tcBorders>
            <w:noWrap w:val="0"/>
            <w:vAlign w:val="center"/>
          </w:tcPr>
          <w:p w14:paraId="6430A883">
            <w:pPr>
              <w:jc w:val="both"/>
              <w:rPr>
                <w:rFonts w:hint="eastAsia" w:ascii="Arial Narrow" w:hAnsi="Arial Narrow" w:eastAsia="仿宋_GB2312" w:cs="宋体"/>
                <w:i w:val="0"/>
                <w:iCs w:val="0"/>
                <w:color w:val="000000"/>
                <w:sz w:val="21"/>
                <w:szCs w:val="21"/>
                <w:u w:val="none"/>
              </w:rPr>
            </w:pPr>
          </w:p>
        </w:tc>
      </w:tr>
      <w:tr w14:paraId="34891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31F3A6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25</w:t>
            </w:r>
          </w:p>
        </w:tc>
        <w:tc>
          <w:tcPr>
            <w:tcW w:w="1857" w:type="pct"/>
            <w:tcBorders>
              <w:top w:val="nil"/>
              <w:left w:val="nil"/>
              <w:bottom w:val="single" w:color="000000" w:sz="8" w:space="0"/>
              <w:right w:val="single" w:color="000000" w:sz="8" w:space="0"/>
            </w:tcBorders>
            <w:noWrap w:val="0"/>
            <w:vAlign w:val="center"/>
          </w:tcPr>
          <w:p w14:paraId="735ED386">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其他资产</w:t>
            </w:r>
          </w:p>
        </w:tc>
        <w:tc>
          <w:tcPr>
            <w:tcW w:w="940" w:type="pct"/>
            <w:tcBorders>
              <w:top w:val="nil"/>
              <w:left w:val="nil"/>
              <w:bottom w:val="single" w:color="000000" w:sz="8" w:space="0"/>
              <w:right w:val="single" w:color="000000" w:sz="8" w:space="0"/>
            </w:tcBorders>
            <w:noWrap w:val="0"/>
            <w:vAlign w:val="center"/>
          </w:tcPr>
          <w:p w14:paraId="537C14D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23,886.57 </w:t>
            </w:r>
          </w:p>
        </w:tc>
        <w:tc>
          <w:tcPr>
            <w:tcW w:w="940" w:type="pct"/>
            <w:tcBorders>
              <w:top w:val="nil"/>
              <w:left w:val="nil"/>
              <w:bottom w:val="single" w:color="000000" w:sz="8" w:space="0"/>
              <w:right w:val="single" w:color="000000" w:sz="8" w:space="0"/>
            </w:tcBorders>
            <w:noWrap w:val="0"/>
            <w:vAlign w:val="center"/>
          </w:tcPr>
          <w:p w14:paraId="46A0751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23,886.57 </w:t>
            </w:r>
          </w:p>
        </w:tc>
        <w:tc>
          <w:tcPr>
            <w:tcW w:w="566" w:type="pct"/>
            <w:tcBorders>
              <w:top w:val="nil"/>
              <w:left w:val="nil"/>
              <w:bottom w:val="single" w:color="000000" w:sz="8" w:space="0"/>
              <w:right w:val="single" w:color="000000" w:sz="8" w:space="0"/>
            </w:tcBorders>
            <w:noWrap w:val="0"/>
            <w:vAlign w:val="center"/>
          </w:tcPr>
          <w:p w14:paraId="07ADA93C">
            <w:pPr>
              <w:jc w:val="both"/>
              <w:rPr>
                <w:rFonts w:hint="eastAsia" w:ascii="Arial Narrow" w:hAnsi="Arial Narrow" w:eastAsia="仿宋_GB2312" w:cs="宋体"/>
                <w:i w:val="0"/>
                <w:iCs w:val="0"/>
                <w:color w:val="000000"/>
                <w:sz w:val="21"/>
                <w:szCs w:val="21"/>
                <w:u w:val="none"/>
              </w:rPr>
            </w:pPr>
          </w:p>
        </w:tc>
      </w:tr>
      <w:tr w14:paraId="5C16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5931184">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26</w:t>
            </w:r>
          </w:p>
        </w:tc>
        <w:tc>
          <w:tcPr>
            <w:tcW w:w="1857" w:type="pct"/>
            <w:tcBorders>
              <w:top w:val="nil"/>
              <w:left w:val="nil"/>
              <w:bottom w:val="single" w:color="000000" w:sz="8" w:space="0"/>
              <w:right w:val="single" w:color="000000" w:sz="8" w:space="0"/>
            </w:tcBorders>
            <w:noWrap w:val="0"/>
            <w:vAlign w:val="center"/>
          </w:tcPr>
          <w:p w14:paraId="28319CE3">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资产合计</w:t>
            </w:r>
          </w:p>
        </w:tc>
        <w:tc>
          <w:tcPr>
            <w:tcW w:w="940" w:type="pct"/>
            <w:tcBorders>
              <w:top w:val="nil"/>
              <w:left w:val="nil"/>
              <w:bottom w:val="single" w:color="000000" w:sz="8" w:space="0"/>
              <w:right w:val="single" w:color="000000" w:sz="8" w:space="0"/>
            </w:tcBorders>
            <w:noWrap w:val="0"/>
            <w:vAlign w:val="center"/>
          </w:tcPr>
          <w:p w14:paraId="20F5BE6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22,889,042.96 </w:t>
            </w:r>
          </w:p>
        </w:tc>
        <w:tc>
          <w:tcPr>
            <w:tcW w:w="940" w:type="pct"/>
            <w:tcBorders>
              <w:top w:val="nil"/>
              <w:left w:val="nil"/>
              <w:bottom w:val="single" w:color="000000" w:sz="8" w:space="0"/>
              <w:right w:val="single" w:color="000000" w:sz="8" w:space="0"/>
            </w:tcBorders>
            <w:noWrap w:val="0"/>
            <w:vAlign w:val="center"/>
          </w:tcPr>
          <w:p w14:paraId="50596AA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22,889,042.96 </w:t>
            </w:r>
          </w:p>
        </w:tc>
        <w:tc>
          <w:tcPr>
            <w:tcW w:w="566" w:type="pct"/>
            <w:tcBorders>
              <w:top w:val="nil"/>
              <w:left w:val="nil"/>
              <w:bottom w:val="single" w:color="000000" w:sz="8" w:space="0"/>
              <w:right w:val="single" w:color="000000" w:sz="8" w:space="0"/>
            </w:tcBorders>
            <w:noWrap w:val="0"/>
            <w:vAlign w:val="center"/>
          </w:tcPr>
          <w:p w14:paraId="36F59772">
            <w:pPr>
              <w:jc w:val="both"/>
              <w:rPr>
                <w:rFonts w:hint="eastAsia" w:ascii="Arial Narrow" w:hAnsi="Arial Narrow" w:eastAsia="仿宋_GB2312" w:cs="宋体"/>
                <w:i w:val="0"/>
                <w:iCs w:val="0"/>
                <w:color w:val="000000"/>
                <w:sz w:val="21"/>
                <w:szCs w:val="21"/>
                <w:u w:val="none"/>
              </w:rPr>
            </w:pPr>
          </w:p>
        </w:tc>
      </w:tr>
      <w:tr w14:paraId="6616A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5"/>
            <w:tcBorders>
              <w:top w:val="nil"/>
              <w:left w:val="single" w:color="000000" w:sz="8" w:space="0"/>
              <w:bottom w:val="single" w:color="000000" w:sz="8" w:space="0"/>
              <w:right w:val="single" w:color="000000" w:sz="8" w:space="0"/>
            </w:tcBorders>
            <w:shd w:val="clear" w:color="auto" w:fill="A6A6A6"/>
            <w:noWrap w:val="0"/>
            <w:vAlign w:val="center"/>
          </w:tcPr>
          <w:p w14:paraId="1BC096CA">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负债</w:t>
            </w:r>
          </w:p>
        </w:tc>
      </w:tr>
      <w:tr w14:paraId="2241C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3119FD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27</w:t>
            </w:r>
          </w:p>
        </w:tc>
        <w:tc>
          <w:tcPr>
            <w:tcW w:w="1857" w:type="pct"/>
            <w:tcBorders>
              <w:top w:val="single" w:color="000000" w:sz="8" w:space="0"/>
              <w:left w:val="nil"/>
              <w:bottom w:val="single" w:color="000000" w:sz="8" w:space="0"/>
              <w:right w:val="single" w:color="000000" w:sz="8" w:space="0"/>
            </w:tcBorders>
            <w:noWrap w:val="0"/>
            <w:vAlign w:val="center"/>
          </w:tcPr>
          <w:p w14:paraId="0079F7D1">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向中央银行借款</w:t>
            </w:r>
          </w:p>
        </w:tc>
        <w:tc>
          <w:tcPr>
            <w:tcW w:w="940" w:type="pct"/>
            <w:tcBorders>
              <w:top w:val="single" w:color="000000" w:sz="8" w:space="0"/>
              <w:left w:val="nil"/>
              <w:bottom w:val="single" w:color="000000" w:sz="8" w:space="0"/>
              <w:right w:val="single" w:color="000000" w:sz="8" w:space="0"/>
            </w:tcBorders>
            <w:noWrap w:val="0"/>
            <w:vAlign w:val="center"/>
          </w:tcPr>
          <w:p w14:paraId="5100982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982,074.38 </w:t>
            </w:r>
          </w:p>
        </w:tc>
        <w:tc>
          <w:tcPr>
            <w:tcW w:w="940" w:type="pct"/>
            <w:tcBorders>
              <w:top w:val="single" w:color="000000" w:sz="8" w:space="0"/>
              <w:left w:val="nil"/>
              <w:bottom w:val="single" w:color="000000" w:sz="8" w:space="0"/>
              <w:right w:val="single" w:color="000000" w:sz="8" w:space="0"/>
            </w:tcBorders>
            <w:noWrap w:val="0"/>
            <w:vAlign w:val="center"/>
          </w:tcPr>
          <w:p w14:paraId="498E51D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982,074.38 </w:t>
            </w:r>
          </w:p>
        </w:tc>
        <w:tc>
          <w:tcPr>
            <w:tcW w:w="566" w:type="pct"/>
            <w:tcBorders>
              <w:top w:val="single" w:color="000000" w:sz="8" w:space="0"/>
              <w:left w:val="nil"/>
              <w:bottom w:val="single" w:color="000000" w:sz="8" w:space="0"/>
              <w:right w:val="single" w:color="000000" w:sz="8" w:space="0"/>
            </w:tcBorders>
            <w:noWrap w:val="0"/>
            <w:vAlign w:val="center"/>
          </w:tcPr>
          <w:p w14:paraId="724C8C52">
            <w:pPr>
              <w:jc w:val="both"/>
              <w:rPr>
                <w:rFonts w:hint="eastAsia" w:ascii="Arial Narrow" w:hAnsi="Arial Narrow" w:eastAsia="仿宋_GB2312" w:cs="宋体"/>
                <w:i w:val="0"/>
                <w:iCs w:val="0"/>
                <w:color w:val="000000"/>
                <w:sz w:val="21"/>
                <w:szCs w:val="21"/>
                <w:u w:val="none"/>
              </w:rPr>
            </w:pPr>
          </w:p>
        </w:tc>
      </w:tr>
      <w:tr w14:paraId="2FAB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9324BE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28</w:t>
            </w:r>
          </w:p>
        </w:tc>
        <w:tc>
          <w:tcPr>
            <w:tcW w:w="1857" w:type="pct"/>
            <w:tcBorders>
              <w:top w:val="nil"/>
              <w:left w:val="nil"/>
              <w:bottom w:val="single" w:color="000000" w:sz="8" w:space="0"/>
              <w:right w:val="single" w:color="000000" w:sz="8" w:space="0"/>
            </w:tcBorders>
            <w:noWrap w:val="0"/>
            <w:vAlign w:val="center"/>
          </w:tcPr>
          <w:p w14:paraId="67C59006">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同业及其他金融机构存放款项</w:t>
            </w:r>
          </w:p>
        </w:tc>
        <w:tc>
          <w:tcPr>
            <w:tcW w:w="940" w:type="pct"/>
            <w:tcBorders>
              <w:top w:val="nil"/>
              <w:left w:val="nil"/>
              <w:bottom w:val="single" w:color="000000" w:sz="8" w:space="0"/>
              <w:right w:val="single" w:color="000000" w:sz="8" w:space="0"/>
            </w:tcBorders>
            <w:noWrap w:val="0"/>
            <w:vAlign w:val="center"/>
          </w:tcPr>
          <w:p w14:paraId="0A5AF03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2,408.37 </w:t>
            </w:r>
          </w:p>
        </w:tc>
        <w:tc>
          <w:tcPr>
            <w:tcW w:w="940" w:type="pct"/>
            <w:tcBorders>
              <w:top w:val="nil"/>
              <w:left w:val="nil"/>
              <w:bottom w:val="single" w:color="000000" w:sz="8" w:space="0"/>
              <w:right w:val="single" w:color="000000" w:sz="8" w:space="0"/>
            </w:tcBorders>
            <w:noWrap w:val="0"/>
            <w:vAlign w:val="center"/>
          </w:tcPr>
          <w:p w14:paraId="0F46361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2,408.37 </w:t>
            </w:r>
          </w:p>
        </w:tc>
        <w:tc>
          <w:tcPr>
            <w:tcW w:w="566" w:type="pct"/>
            <w:tcBorders>
              <w:top w:val="nil"/>
              <w:left w:val="nil"/>
              <w:bottom w:val="single" w:color="000000" w:sz="8" w:space="0"/>
              <w:right w:val="single" w:color="000000" w:sz="8" w:space="0"/>
            </w:tcBorders>
            <w:noWrap w:val="0"/>
            <w:vAlign w:val="center"/>
          </w:tcPr>
          <w:p w14:paraId="14CF8A55">
            <w:pPr>
              <w:jc w:val="both"/>
              <w:rPr>
                <w:rFonts w:hint="eastAsia" w:ascii="Arial Narrow" w:hAnsi="Arial Narrow" w:eastAsia="仿宋_GB2312" w:cs="宋体"/>
                <w:i w:val="0"/>
                <w:iCs w:val="0"/>
                <w:color w:val="000000"/>
                <w:sz w:val="21"/>
                <w:szCs w:val="21"/>
                <w:u w:val="none"/>
              </w:rPr>
            </w:pPr>
          </w:p>
        </w:tc>
      </w:tr>
      <w:tr w14:paraId="2157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1EFBBA5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29</w:t>
            </w:r>
          </w:p>
        </w:tc>
        <w:tc>
          <w:tcPr>
            <w:tcW w:w="1857" w:type="pct"/>
            <w:tcBorders>
              <w:top w:val="nil"/>
              <w:left w:val="nil"/>
              <w:bottom w:val="single" w:color="000000" w:sz="8" w:space="0"/>
              <w:right w:val="single" w:color="000000" w:sz="8" w:space="0"/>
            </w:tcBorders>
            <w:noWrap w:val="0"/>
            <w:vAlign w:val="center"/>
          </w:tcPr>
          <w:p w14:paraId="3AEB6DE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拆入资金</w:t>
            </w:r>
          </w:p>
        </w:tc>
        <w:tc>
          <w:tcPr>
            <w:tcW w:w="940" w:type="pct"/>
            <w:tcBorders>
              <w:top w:val="nil"/>
              <w:left w:val="nil"/>
              <w:bottom w:val="single" w:color="000000" w:sz="8" w:space="0"/>
              <w:right w:val="single" w:color="000000" w:sz="8" w:space="0"/>
            </w:tcBorders>
            <w:noWrap w:val="0"/>
            <w:vAlign w:val="center"/>
          </w:tcPr>
          <w:p w14:paraId="0BAB4EC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100,040.28 </w:t>
            </w:r>
          </w:p>
        </w:tc>
        <w:tc>
          <w:tcPr>
            <w:tcW w:w="940" w:type="pct"/>
            <w:tcBorders>
              <w:top w:val="nil"/>
              <w:left w:val="nil"/>
              <w:bottom w:val="single" w:color="000000" w:sz="8" w:space="0"/>
              <w:right w:val="single" w:color="000000" w:sz="8" w:space="0"/>
            </w:tcBorders>
            <w:noWrap w:val="0"/>
            <w:vAlign w:val="center"/>
          </w:tcPr>
          <w:p w14:paraId="0FFA70E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100,040.28 </w:t>
            </w:r>
          </w:p>
        </w:tc>
        <w:tc>
          <w:tcPr>
            <w:tcW w:w="566" w:type="pct"/>
            <w:tcBorders>
              <w:top w:val="nil"/>
              <w:left w:val="nil"/>
              <w:bottom w:val="single" w:color="000000" w:sz="8" w:space="0"/>
              <w:right w:val="single" w:color="000000" w:sz="8" w:space="0"/>
            </w:tcBorders>
            <w:noWrap w:val="0"/>
            <w:vAlign w:val="center"/>
          </w:tcPr>
          <w:p w14:paraId="12CAE79A">
            <w:pPr>
              <w:jc w:val="both"/>
              <w:rPr>
                <w:rFonts w:hint="eastAsia" w:ascii="Arial Narrow" w:hAnsi="Arial Narrow" w:eastAsia="仿宋_GB2312" w:cs="宋体"/>
                <w:i w:val="0"/>
                <w:iCs w:val="0"/>
                <w:color w:val="000000"/>
                <w:sz w:val="21"/>
                <w:szCs w:val="21"/>
                <w:u w:val="none"/>
              </w:rPr>
            </w:pPr>
          </w:p>
        </w:tc>
      </w:tr>
      <w:tr w14:paraId="47CF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05C406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30</w:t>
            </w:r>
          </w:p>
        </w:tc>
        <w:tc>
          <w:tcPr>
            <w:tcW w:w="1857" w:type="pct"/>
            <w:tcBorders>
              <w:top w:val="nil"/>
              <w:left w:val="nil"/>
              <w:bottom w:val="single" w:color="000000" w:sz="8" w:space="0"/>
              <w:right w:val="single" w:color="000000" w:sz="8" w:space="0"/>
            </w:tcBorders>
            <w:noWrap w:val="0"/>
            <w:vAlign w:val="center"/>
          </w:tcPr>
          <w:p w14:paraId="689CBAFD">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交易性金融负债</w:t>
            </w:r>
          </w:p>
        </w:tc>
        <w:tc>
          <w:tcPr>
            <w:tcW w:w="940" w:type="pct"/>
            <w:tcBorders>
              <w:top w:val="nil"/>
              <w:left w:val="nil"/>
              <w:bottom w:val="single" w:color="000000" w:sz="8" w:space="0"/>
              <w:right w:val="single" w:color="000000" w:sz="8" w:space="0"/>
            </w:tcBorders>
            <w:noWrap w:val="0"/>
            <w:vAlign w:val="center"/>
          </w:tcPr>
          <w:p w14:paraId="39FDB3B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940" w:type="pct"/>
            <w:tcBorders>
              <w:top w:val="nil"/>
              <w:left w:val="nil"/>
              <w:bottom w:val="single" w:color="000000" w:sz="8" w:space="0"/>
              <w:right w:val="single" w:color="000000" w:sz="8" w:space="0"/>
            </w:tcBorders>
            <w:noWrap w:val="0"/>
            <w:vAlign w:val="center"/>
          </w:tcPr>
          <w:p w14:paraId="79765D7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32A32424">
            <w:pPr>
              <w:jc w:val="both"/>
              <w:rPr>
                <w:rFonts w:hint="eastAsia" w:ascii="Arial Narrow" w:hAnsi="Arial Narrow" w:eastAsia="仿宋_GB2312" w:cs="宋体"/>
                <w:i w:val="0"/>
                <w:iCs w:val="0"/>
                <w:color w:val="000000"/>
                <w:sz w:val="21"/>
                <w:szCs w:val="21"/>
                <w:u w:val="none"/>
              </w:rPr>
            </w:pPr>
          </w:p>
        </w:tc>
      </w:tr>
      <w:tr w14:paraId="5E08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74D96F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31</w:t>
            </w:r>
          </w:p>
        </w:tc>
        <w:tc>
          <w:tcPr>
            <w:tcW w:w="1857" w:type="pct"/>
            <w:tcBorders>
              <w:top w:val="nil"/>
              <w:left w:val="nil"/>
              <w:bottom w:val="single" w:color="000000" w:sz="8" w:space="0"/>
              <w:right w:val="single" w:color="000000" w:sz="8" w:space="0"/>
            </w:tcBorders>
            <w:noWrap w:val="0"/>
            <w:vAlign w:val="center"/>
          </w:tcPr>
          <w:p w14:paraId="74218757">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衍生金融负债</w:t>
            </w:r>
          </w:p>
        </w:tc>
        <w:tc>
          <w:tcPr>
            <w:tcW w:w="940" w:type="pct"/>
            <w:tcBorders>
              <w:top w:val="nil"/>
              <w:left w:val="nil"/>
              <w:bottom w:val="single" w:color="000000" w:sz="8" w:space="0"/>
              <w:right w:val="single" w:color="000000" w:sz="8" w:space="0"/>
            </w:tcBorders>
            <w:noWrap w:val="0"/>
            <w:vAlign w:val="center"/>
          </w:tcPr>
          <w:p w14:paraId="0A303F2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23,290.59 </w:t>
            </w:r>
          </w:p>
        </w:tc>
        <w:tc>
          <w:tcPr>
            <w:tcW w:w="940" w:type="pct"/>
            <w:tcBorders>
              <w:top w:val="nil"/>
              <w:left w:val="nil"/>
              <w:bottom w:val="single" w:color="000000" w:sz="8" w:space="0"/>
              <w:right w:val="single" w:color="000000" w:sz="8" w:space="0"/>
            </w:tcBorders>
            <w:noWrap w:val="0"/>
            <w:vAlign w:val="center"/>
          </w:tcPr>
          <w:p w14:paraId="6F09B78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23,290.59 </w:t>
            </w:r>
          </w:p>
        </w:tc>
        <w:tc>
          <w:tcPr>
            <w:tcW w:w="566" w:type="pct"/>
            <w:tcBorders>
              <w:top w:val="nil"/>
              <w:left w:val="nil"/>
              <w:bottom w:val="single" w:color="000000" w:sz="8" w:space="0"/>
              <w:right w:val="single" w:color="000000" w:sz="8" w:space="0"/>
            </w:tcBorders>
            <w:noWrap w:val="0"/>
            <w:vAlign w:val="center"/>
          </w:tcPr>
          <w:p w14:paraId="0F9D0818">
            <w:pPr>
              <w:jc w:val="both"/>
              <w:rPr>
                <w:rFonts w:hint="eastAsia" w:ascii="Arial Narrow" w:hAnsi="Arial Narrow" w:eastAsia="仿宋_GB2312" w:cs="宋体"/>
                <w:i w:val="0"/>
                <w:iCs w:val="0"/>
                <w:color w:val="000000"/>
                <w:sz w:val="21"/>
                <w:szCs w:val="21"/>
                <w:u w:val="none"/>
              </w:rPr>
            </w:pPr>
          </w:p>
        </w:tc>
      </w:tr>
      <w:tr w14:paraId="146A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A4482F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32</w:t>
            </w:r>
          </w:p>
        </w:tc>
        <w:tc>
          <w:tcPr>
            <w:tcW w:w="1857" w:type="pct"/>
            <w:tcBorders>
              <w:top w:val="nil"/>
              <w:left w:val="nil"/>
              <w:bottom w:val="single" w:color="000000" w:sz="8" w:space="0"/>
              <w:right w:val="single" w:color="000000" w:sz="8" w:space="0"/>
            </w:tcBorders>
            <w:noWrap w:val="0"/>
            <w:vAlign w:val="center"/>
          </w:tcPr>
          <w:p w14:paraId="7F1A2401">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卖出回购金融资产款</w:t>
            </w:r>
          </w:p>
        </w:tc>
        <w:tc>
          <w:tcPr>
            <w:tcW w:w="940" w:type="pct"/>
            <w:tcBorders>
              <w:top w:val="nil"/>
              <w:left w:val="nil"/>
              <w:bottom w:val="single" w:color="000000" w:sz="8" w:space="0"/>
              <w:right w:val="single" w:color="000000" w:sz="8" w:space="0"/>
            </w:tcBorders>
            <w:noWrap w:val="0"/>
            <w:vAlign w:val="center"/>
          </w:tcPr>
          <w:p w14:paraId="5B0D7D3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1,717,098.15 </w:t>
            </w:r>
          </w:p>
        </w:tc>
        <w:tc>
          <w:tcPr>
            <w:tcW w:w="940" w:type="pct"/>
            <w:tcBorders>
              <w:top w:val="nil"/>
              <w:left w:val="nil"/>
              <w:bottom w:val="single" w:color="000000" w:sz="8" w:space="0"/>
              <w:right w:val="single" w:color="000000" w:sz="8" w:space="0"/>
            </w:tcBorders>
            <w:noWrap w:val="0"/>
            <w:vAlign w:val="center"/>
          </w:tcPr>
          <w:p w14:paraId="2953B47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1,717,098.15 </w:t>
            </w:r>
          </w:p>
        </w:tc>
        <w:tc>
          <w:tcPr>
            <w:tcW w:w="566" w:type="pct"/>
            <w:tcBorders>
              <w:top w:val="nil"/>
              <w:left w:val="nil"/>
              <w:bottom w:val="single" w:color="000000" w:sz="8" w:space="0"/>
              <w:right w:val="single" w:color="000000" w:sz="8" w:space="0"/>
            </w:tcBorders>
            <w:noWrap w:val="0"/>
            <w:vAlign w:val="center"/>
          </w:tcPr>
          <w:p w14:paraId="17D08DB6">
            <w:pPr>
              <w:jc w:val="both"/>
              <w:rPr>
                <w:rFonts w:hint="eastAsia" w:ascii="Arial Narrow" w:hAnsi="Arial Narrow" w:eastAsia="仿宋_GB2312" w:cs="宋体"/>
                <w:i w:val="0"/>
                <w:iCs w:val="0"/>
                <w:color w:val="000000"/>
                <w:sz w:val="21"/>
                <w:szCs w:val="21"/>
                <w:u w:val="none"/>
              </w:rPr>
            </w:pPr>
          </w:p>
        </w:tc>
      </w:tr>
      <w:tr w14:paraId="5FB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7D85FF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33</w:t>
            </w:r>
          </w:p>
        </w:tc>
        <w:tc>
          <w:tcPr>
            <w:tcW w:w="1857" w:type="pct"/>
            <w:tcBorders>
              <w:top w:val="nil"/>
              <w:left w:val="nil"/>
              <w:bottom w:val="single" w:color="000000" w:sz="8" w:space="0"/>
              <w:right w:val="single" w:color="000000" w:sz="8" w:space="0"/>
            </w:tcBorders>
            <w:noWrap w:val="0"/>
            <w:vAlign w:val="center"/>
          </w:tcPr>
          <w:p w14:paraId="56F5F482">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吸收存款</w:t>
            </w:r>
          </w:p>
        </w:tc>
        <w:tc>
          <w:tcPr>
            <w:tcW w:w="940" w:type="pct"/>
            <w:tcBorders>
              <w:top w:val="nil"/>
              <w:left w:val="nil"/>
              <w:bottom w:val="single" w:color="000000" w:sz="8" w:space="0"/>
              <w:right w:val="single" w:color="000000" w:sz="8" w:space="0"/>
            </w:tcBorders>
            <w:noWrap w:val="0"/>
            <w:vAlign w:val="center"/>
          </w:tcPr>
          <w:p w14:paraId="559D800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17,860,345.92 </w:t>
            </w:r>
          </w:p>
        </w:tc>
        <w:tc>
          <w:tcPr>
            <w:tcW w:w="940" w:type="pct"/>
            <w:tcBorders>
              <w:top w:val="nil"/>
              <w:left w:val="nil"/>
              <w:bottom w:val="single" w:color="000000" w:sz="8" w:space="0"/>
              <w:right w:val="single" w:color="000000" w:sz="8" w:space="0"/>
            </w:tcBorders>
            <w:noWrap w:val="0"/>
            <w:vAlign w:val="center"/>
          </w:tcPr>
          <w:p w14:paraId="7B3938E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17,860,345.92 </w:t>
            </w:r>
          </w:p>
        </w:tc>
        <w:tc>
          <w:tcPr>
            <w:tcW w:w="566" w:type="pct"/>
            <w:tcBorders>
              <w:top w:val="nil"/>
              <w:left w:val="nil"/>
              <w:bottom w:val="single" w:color="000000" w:sz="8" w:space="0"/>
              <w:right w:val="single" w:color="000000" w:sz="8" w:space="0"/>
            </w:tcBorders>
            <w:noWrap w:val="0"/>
            <w:vAlign w:val="center"/>
          </w:tcPr>
          <w:p w14:paraId="2DE8077B">
            <w:pPr>
              <w:jc w:val="both"/>
              <w:rPr>
                <w:rFonts w:hint="eastAsia" w:ascii="Arial Narrow" w:hAnsi="Arial Narrow" w:eastAsia="仿宋_GB2312" w:cs="宋体"/>
                <w:i w:val="0"/>
                <w:iCs w:val="0"/>
                <w:color w:val="000000"/>
                <w:sz w:val="21"/>
                <w:szCs w:val="21"/>
                <w:u w:val="none"/>
              </w:rPr>
            </w:pPr>
          </w:p>
        </w:tc>
      </w:tr>
      <w:tr w14:paraId="460C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6F39ED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34</w:t>
            </w:r>
          </w:p>
        </w:tc>
        <w:tc>
          <w:tcPr>
            <w:tcW w:w="1857" w:type="pct"/>
            <w:tcBorders>
              <w:top w:val="nil"/>
              <w:left w:val="nil"/>
              <w:bottom w:val="single" w:color="000000" w:sz="8" w:space="0"/>
              <w:right w:val="single" w:color="000000" w:sz="8" w:space="0"/>
            </w:tcBorders>
            <w:noWrap w:val="0"/>
            <w:vAlign w:val="center"/>
          </w:tcPr>
          <w:p w14:paraId="248ED7F0">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应付债券</w:t>
            </w:r>
          </w:p>
        </w:tc>
        <w:tc>
          <w:tcPr>
            <w:tcW w:w="940" w:type="pct"/>
            <w:tcBorders>
              <w:top w:val="nil"/>
              <w:left w:val="nil"/>
              <w:bottom w:val="single" w:color="000000" w:sz="8" w:space="0"/>
              <w:right w:val="single" w:color="000000" w:sz="8" w:space="0"/>
            </w:tcBorders>
            <w:noWrap w:val="0"/>
            <w:vAlign w:val="center"/>
          </w:tcPr>
          <w:p w14:paraId="6A15927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101,838.47 </w:t>
            </w:r>
          </w:p>
        </w:tc>
        <w:tc>
          <w:tcPr>
            <w:tcW w:w="940" w:type="pct"/>
            <w:tcBorders>
              <w:top w:val="nil"/>
              <w:left w:val="nil"/>
              <w:bottom w:val="single" w:color="000000" w:sz="8" w:space="0"/>
              <w:right w:val="single" w:color="000000" w:sz="8" w:space="0"/>
            </w:tcBorders>
            <w:noWrap w:val="0"/>
            <w:vAlign w:val="center"/>
          </w:tcPr>
          <w:p w14:paraId="34F28E0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101,838.47 </w:t>
            </w:r>
          </w:p>
        </w:tc>
        <w:tc>
          <w:tcPr>
            <w:tcW w:w="566" w:type="pct"/>
            <w:tcBorders>
              <w:top w:val="nil"/>
              <w:left w:val="nil"/>
              <w:bottom w:val="single" w:color="000000" w:sz="8" w:space="0"/>
              <w:right w:val="single" w:color="000000" w:sz="8" w:space="0"/>
            </w:tcBorders>
            <w:noWrap w:val="0"/>
            <w:vAlign w:val="center"/>
          </w:tcPr>
          <w:p w14:paraId="5E8A5432">
            <w:pPr>
              <w:jc w:val="both"/>
              <w:rPr>
                <w:rFonts w:hint="eastAsia" w:ascii="Arial Narrow" w:hAnsi="Arial Narrow" w:eastAsia="仿宋_GB2312" w:cs="宋体"/>
                <w:i w:val="0"/>
                <w:iCs w:val="0"/>
                <w:color w:val="000000"/>
                <w:sz w:val="21"/>
                <w:szCs w:val="21"/>
                <w:u w:val="none"/>
              </w:rPr>
            </w:pPr>
          </w:p>
        </w:tc>
      </w:tr>
      <w:tr w14:paraId="3A41E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8734D9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35</w:t>
            </w:r>
          </w:p>
        </w:tc>
        <w:tc>
          <w:tcPr>
            <w:tcW w:w="1857" w:type="pct"/>
            <w:tcBorders>
              <w:top w:val="nil"/>
              <w:left w:val="nil"/>
              <w:bottom w:val="single" w:color="000000" w:sz="8" w:space="0"/>
              <w:right w:val="single" w:color="000000" w:sz="8" w:space="0"/>
            </w:tcBorders>
            <w:noWrap w:val="0"/>
            <w:vAlign w:val="center"/>
          </w:tcPr>
          <w:p w14:paraId="0F221882">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应付职工薪酬</w:t>
            </w:r>
          </w:p>
        </w:tc>
        <w:tc>
          <w:tcPr>
            <w:tcW w:w="940" w:type="pct"/>
            <w:tcBorders>
              <w:top w:val="nil"/>
              <w:left w:val="nil"/>
              <w:bottom w:val="single" w:color="000000" w:sz="8" w:space="0"/>
              <w:right w:val="single" w:color="000000" w:sz="8" w:space="0"/>
            </w:tcBorders>
            <w:noWrap w:val="0"/>
            <w:vAlign w:val="center"/>
          </w:tcPr>
          <w:p w14:paraId="2CC87AF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23,206.56 </w:t>
            </w:r>
          </w:p>
        </w:tc>
        <w:tc>
          <w:tcPr>
            <w:tcW w:w="940" w:type="pct"/>
            <w:tcBorders>
              <w:top w:val="nil"/>
              <w:left w:val="nil"/>
              <w:bottom w:val="single" w:color="000000" w:sz="8" w:space="0"/>
              <w:right w:val="single" w:color="000000" w:sz="8" w:space="0"/>
            </w:tcBorders>
            <w:noWrap w:val="0"/>
            <w:vAlign w:val="center"/>
          </w:tcPr>
          <w:p w14:paraId="6AD9114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23,206.56 </w:t>
            </w:r>
          </w:p>
        </w:tc>
        <w:tc>
          <w:tcPr>
            <w:tcW w:w="566" w:type="pct"/>
            <w:tcBorders>
              <w:top w:val="nil"/>
              <w:left w:val="nil"/>
              <w:bottom w:val="single" w:color="000000" w:sz="8" w:space="0"/>
              <w:right w:val="single" w:color="000000" w:sz="8" w:space="0"/>
            </w:tcBorders>
            <w:noWrap w:val="0"/>
            <w:vAlign w:val="center"/>
          </w:tcPr>
          <w:p w14:paraId="78C24F88">
            <w:pPr>
              <w:jc w:val="both"/>
              <w:rPr>
                <w:rFonts w:hint="eastAsia" w:ascii="Arial Narrow" w:hAnsi="Arial Narrow" w:eastAsia="仿宋_GB2312" w:cs="宋体"/>
                <w:i w:val="0"/>
                <w:iCs w:val="0"/>
                <w:color w:val="000000"/>
                <w:sz w:val="21"/>
                <w:szCs w:val="21"/>
                <w:u w:val="none"/>
              </w:rPr>
            </w:pPr>
          </w:p>
        </w:tc>
      </w:tr>
      <w:tr w14:paraId="2CDC5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04EDBC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36</w:t>
            </w:r>
          </w:p>
        </w:tc>
        <w:tc>
          <w:tcPr>
            <w:tcW w:w="1857" w:type="pct"/>
            <w:tcBorders>
              <w:top w:val="nil"/>
              <w:left w:val="nil"/>
              <w:bottom w:val="single" w:color="000000" w:sz="8" w:space="0"/>
              <w:right w:val="single" w:color="000000" w:sz="8" w:space="0"/>
            </w:tcBorders>
            <w:noWrap w:val="0"/>
            <w:vAlign w:val="center"/>
          </w:tcPr>
          <w:p w14:paraId="07D6540A">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应交税费</w:t>
            </w:r>
          </w:p>
        </w:tc>
        <w:tc>
          <w:tcPr>
            <w:tcW w:w="940" w:type="pct"/>
            <w:tcBorders>
              <w:top w:val="nil"/>
              <w:left w:val="nil"/>
              <w:bottom w:val="single" w:color="000000" w:sz="8" w:space="0"/>
              <w:right w:val="single" w:color="000000" w:sz="8" w:space="0"/>
            </w:tcBorders>
            <w:noWrap w:val="0"/>
            <w:vAlign w:val="center"/>
          </w:tcPr>
          <w:p w14:paraId="49E3303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10,534.77 </w:t>
            </w:r>
          </w:p>
        </w:tc>
        <w:tc>
          <w:tcPr>
            <w:tcW w:w="940" w:type="pct"/>
            <w:tcBorders>
              <w:top w:val="nil"/>
              <w:left w:val="nil"/>
              <w:bottom w:val="single" w:color="000000" w:sz="8" w:space="0"/>
              <w:right w:val="single" w:color="000000" w:sz="8" w:space="0"/>
            </w:tcBorders>
            <w:noWrap w:val="0"/>
            <w:vAlign w:val="center"/>
          </w:tcPr>
          <w:p w14:paraId="1242715C">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10,534.77 </w:t>
            </w:r>
          </w:p>
        </w:tc>
        <w:tc>
          <w:tcPr>
            <w:tcW w:w="566" w:type="pct"/>
            <w:tcBorders>
              <w:top w:val="nil"/>
              <w:left w:val="nil"/>
              <w:bottom w:val="single" w:color="000000" w:sz="8" w:space="0"/>
              <w:right w:val="single" w:color="000000" w:sz="8" w:space="0"/>
            </w:tcBorders>
            <w:noWrap w:val="0"/>
            <w:vAlign w:val="center"/>
          </w:tcPr>
          <w:p w14:paraId="6A868D3E">
            <w:pPr>
              <w:jc w:val="both"/>
              <w:rPr>
                <w:rFonts w:hint="eastAsia" w:ascii="Arial Narrow" w:hAnsi="Arial Narrow" w:eastAsia="仿宋_GB2312" w:cs="宋体"/>
                <w:i w:val="0"/>
                <w:iCs w:val="0"/>
                <w:color w:val="000000"/>
                <w:sz w:val="21"/>
                <w:szCs w:val="21"/>
                <w:u w:val="none"/>
              </w:rPr>
            </w:pPr>
          </w:p>
        </w:tc>
      </w:tr>
      <w:tr w14:paraId="25DB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F4D55F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37</w:t>
            </w:r>
          </w:p>
        </w:tc>
        <w:tc>
          <w:tcPr>
            <w:tcW w:w="1857" w:type="pct"/>
            <w:tcBorders>
              <w:top w:val="nil"/>
              <w:left w:val="nil"/>
              <w:bottom w:val="single" w:color="000000" w:sz="8" w:space="0"/>
              <w:right w:val="single" w:color="000000" w:sz="8" w:space="0"/>
            </w:tcBorders>
            <w:noWrap w:val="0"/>
            <w:vAlign w:val="center"/>
          </w:tcPr>
          <w:p w14:paraId="101A0542">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持有待售负债</w:t>
            </w:r>
          </w:p>
        </w:tc>
        <w:tc>
          <w:tcPr>
            <w:tcW w:w="940" w:type="pct"/>
            <w:tcBorders>
              <w:top w:val="nil"/>
              <w:left w:val="nil"/>
              <w:bottom w:val="single" w:color="000000" w:sz="8" w:space="0"/>
              <w:right w:val="single" w:color="000000" w:sz="8" w:space="0"/>
            </w:tcBorders>
            <w:noWrap w:val="0"/>
            <w:vAlign w:val="center"/>
          </w:tcPr>
          <w:p w14:paraId="2F24B5C9">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123A252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4C1E9A6A">
            <w:pPr>
              <w:jc w:val="both"/>
              <w:rPr>
                <w:rFonts w:hint="eastAsia" w:ascii="Arial Narrow" w:hAnsi="Arial Narrow" w:eastAsia="仿宋_GB2312" w:cs="宋体"/>
                <w:i w:val="0"/>
                <w:iCs w:val="0"/>
                <w:color w:val="000000"/>
                <w:sz w:val="21"/>
                <w:szCs w:val="21"/>
                <w:u w:val="none"/>
              </w:rPr>
            </w:pPr>
          </w:p>
        </w:tc>
      </w:tr>
      <w:tr w14:paraId="509A4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892D34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38</w:t>
            </w:r>
          </w:p>
        </w:tc>
        <w:tc>
          <w:tcPr>
            <w:tcW w:w="1857" w:type="pct"/>
            <w:tcBorders>
              <w:top w:val="nil"/>
              <w:left w:val="nil"/>
              <w:bottom w:val="single" w:color="000000" w:sz="8" w:space="0"/>
              <w:right w:val="single" w:color="000000" w:sz="8" w:space="0"/>
            </w:tcBorders>
            <w:noWrap w:val="0"/>
            <w:vAlign w:val="center"/>
          </w:tcPr>
          <w:p w14:paraId="5231EB57">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其他应付款</w:t>
            </w:r>
          </w:p>
        </w:tc>
        <w:tc>
          <w:tcPr>
            <w:tcW w:w="940" w:type="pct"/>
            <w:tcBorders>
              <w:top w:val="nil"/>
              <w:left w:val="nil"/>
              <w:bottom w:val="single" w:color="000000" w:sz="8" w:space="0"/>
              <w:right w:val="single" w:color="000000" w:sz="8" w:space="0"/>
            </w:tcBorders>
            <w:noWrap w:val="0"/>
            <w:vAlign w:val="center"/>
          </w:tcPr>
          <w:p w14:paraId="6DE125F8">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5D17CE0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2803C586">
            <w:pPr>
              <w:jc w:val="both"/>
              <w:rPr>
                <w:rFonts w:hint="eastAsia" w:ascii="Arial Narrow" w:hAnsi="Arial Narrow" w:eastAsia="仿宋_GB2312" w:cs="宋体"/>
                <w:i w:val="0"/>
                <w:iCs w:val="0"/>
                <w:color w:val="000000"/>
                <w:sz w:val="21"/>
                <w:szCs w:val="21"/>
                <w:u w:val="none"/>
              </w:rPr>
            </w:pPr>
          </w:p>
        </w:tc>
      </w:tr>
      <w:tr w14:paraId="6150F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FA9ED5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39</w:t>
            </w:r>
          </w:p>
        </w:tc>
        <w:tc>
          <w:tcPr>
            <w:tcW w:w="1857" w:type="pct"/>
            <w:tcBorders>
              <w:top w:val="nil"/>
              <w:left w:val="nil"/>
              <w:bottom w:val="single" w:color="000000" w:sz="8" w:space="0"/>
              <w:right w:val="single" w:color="000000" w:sz="8" w:space="0"/>
            </w:tcBorders>
            <w:noWrap w:val="0"/>
            <w:vAlign w:val="center"/>
          </w:tcPr>
          <w:p w14:paraId="68B15DE3">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租赁负债</w:t>
            </w:r>
          </w:p>
        </w:tc>
        <w:tc>
          <w:tcPr>
            <w:tcW w:w="940" w:type="pct"/>
            <w:tcBorders>
              <w:top w:val="nil"/>
              <w:left w:val="nil"/>
              <w:bottom w:val="single" w:color="000000" w:sz="8" w:space="0"/>
              <w:right w:val="single" w:color="000000" w:sz="8" w:space="0"/>
            </w:tcBorders>
            <w:noWrap w:val="0"/>
            <w:vAlign w:val="center"/>
          </w:tcPr>
          <w:p w14:paraId="05DD99A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717.48 </w:t>
            </w:r>
          </w:p>
        </w:tc>
        <w:tc>
          <w:tcPr>
            <w:tcW w:w="940" w:type="pct"/>
            <w:tcBorders>
              <w:top w:val="nil"/>
              <w:left w:val="nil"/>
              <w:bottom w:val="single" w:color="000000" w:sz="8" w:space="0"/>
              <w:right w:val="single" w:color="000000" w:sz="8" w:space="0"/>
            </w:tcBorders>
            <w:noWrap w:val="0"/>
            <w:vAlign w:val="center"/>
          </w:tcPr>
          <w:p w14:paraId="17669B4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717.48 </w:t>
            </w:r>
          </w:p>
        </w:tc>
        <w:tc>
          <w:tcPr>
            <w:tcW w:w="566" w:type="pct"/>
            <w:tcBorders>
              <w:top w:val="nil"/>
              <w:left w:val="nil"/>
              <w:bottom w:val="single" w:color="000000" w:sz="8" w:space="0"/>
              <w:right w:val="single" w:color="000000" w:sz="8" w:space="0"/>
            </w:tcBorders>
            <w:noWrap w:val="0"/>
            <w:vAlign w:val="center"/>
          </w:tcPr>
          <w:p w14:paraId="0381FAC5">
            <w:pPr>
              <w:jc w:val="both"/>
              <w:rPr>
                <w:rFonts w:hint="eastAsia" w:ascii="Arial Narrow" w:hAnsi="Arial Narrow" w:eastAsia="仿宋_GB2312" w:cs="宋体"/>
                <w:i w:val="0"/>
                <w:iCs w:val="0"/>
                <w:color w:val="000000"/>
                <w:sz w:val="21"/>
                <w:szCs w:val="21"/>
                <w:u w:val="none"/>
              </w:rPr>
            </w:pPr>
          </w:p>
        </w:tc>
      </w:tr>
      <w:tr w14:paraId="623C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CE16E3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40</w:t>
            </w:r>
          </w:p>
        </w:tc>
        <w:tc>
          <w:tcPr>
            <w:tcW w:w="1857" w:type="pct"/>
            <w:tcBorders>
              <w:top w:val="nil"/>
              <w:left w:val="nil"/>
              <w:bottom w:val="single" w:color="000000" w:sz="8" w:space="0"/>
              <w:right w:val="single" w:color="000000" w:sz="8" w:space="0"/>
            </w:tcBorders>
            <w:noWrap w:val="0"/>
            <w:vAlign w:val="center"/>
          </w:tcPr>
          <w:p w14:paraId="557A799A">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递延所得税负债</w:t>
            </w:r>
          </w:p>
        </w:tc>
        <w:tc>
          <w:tcPr>
            <w:tcW w:w="940" w:type="pct"/>
            <w:tcBorders>
              <w:top w:val="nil"/>
              <w:left w:val="nil"/>
              <w:bottom w:val="single" w:color="000000" w:sz="8" w:space="0"/>
              <w:right w:val="single" w:color="000000" w:sz="8" w:space="0"/>
            </w:tcBorders>
            <w:noWrap w:val="0"/>
            <w:vAlign w:val="center"/>
          </w:tcPr>
          <w:p w14:paraId="61C6DC2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6,478.03 </w:t>
            </w:r>
          </w:p>
        </w:tc>
        <w:tc>
          <w:tcPr>
            <w:tcW w:w="940" w:type="pct"/>
            <w:tcBorders>
              <w:top w:val="nil"/>
              <w:left w:val="nil"/>
              <w:bottom w:val="single" w:color="000000" w:sz="8" w:space="0"/>
              <w:right w:val="single" w:color="000000" w:sz="8" w:space="0"/>
            </w:tcBorders>
            <w:noWrap w:val="0"/>
            <w:vAlign w:val="center"/>
          </w:tcPr>
          <w:p w14:paraId="25AB19C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6,478.03 </w:t>
            </w:r>
          </w:p>
        </w:tc>
        <w:tc>
          <w:tcPr>
            <w:tcW w:w="566" w:type="pct"/>
            <w:tcBorders>
              <w:top w:val="nil"/>
              <w:left w:val="nil"/>
              <w:bottom w:val="single" w:color="000000" w:sz="8" w:space="0"/>
              <w:right w:val="single" w:color="000000" w:sz="8" w:space="0"/>
            </w:tcBorders>
            <w:noWrap w:val="0"/>
            <w:vAlign w:val="center"/>
          </w:tcPr>
          <w:p w14:paraId="2FBF5846">
            <w:pPr>
              <w:jc w:val="both"/>
              <w:rPr>
                <w:rFonts w:hint="eastAsia" w:ascii="Arial Narrow" w:hAnsi="Arial Narrow" w:eastAsia="仿宋_GB2312" w:cs="宋体"/>
                <w:i w:val="0"/>
                <w:iCs w:val="0"/>
                <w:color w:val="000000"/>
                <w:sz w:val="21"/>
                <w:szCs w:val="21"/>
                <w:u w:val="none"/>
              </w:rPr>
            </w:pPr>
          </w:p>
        </w:tc>
      </w:tr>
      <w:tr w14:paraId="6AF4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654B13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41</w:t>
            </w:r>
          </w:p>
        </w:tc>
        <w:tc>
          <w:tcPr>
            <w:tcW w:w="1857" w:type="pct"/>
            <w:tcBorders>
              <w:top w:val="nil"/>
              <w:left w:val="nil"/>
              <w:bottom w:val="single" w:color="000000" w:sz="8" w:space="0"/>
              <w:right w:val="single" w:color="000000" w:sz="8" w:space="0"/>
            </w:tcBorders>
            <w:noWrap w:val="0"/>
            <w:vAlign w:val="center"/>
          </w:tcPr>
          <w:p w14:paraId="17043D82">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其中：与商誉相关的递延所得税负债</w:t>
            </w:r>
          </w:p>
        </w:tc>
        <w:tc>
          <w:tcPr>
            <w:tcW w:w="940" w:type="pct"/>
            <w:tcBorders>
              <w:top w:val="nil"/>
              <w:left w:val="nil"/>
              <w:bottom w:val="single" w:color="000000" w:sz="8" w:space="0"/>
              <w:right w:val="single" w:color="000000" w:sz="8" w:space="0"/>
            </w:tcBorders>
            <w:noWrap w:val="0"/>
            <w:vAlign w:val="center"/>
          </w:tcPr>
          <w:p w14:paraId="1F13F9AC">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1B47382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6C1E07B3">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c</w:t>
            </w:r>
          </w:p>
        </w:tc>
      </w:tr>
      <w:tr w14:paraId="519C9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FACAE8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42</w:t>
            </w:r>
          </w:p>
        </w:tc>
        <w:tc>
          <w:tcPr>
            <w:tcW w:w="1857" w:type="pct"/>
            <w:tcBorders>
              <w:top w:val="nil"/>
              <w:left w:val="nil"/>
              <w:bottom w:val="single" w:color="000000" w:sz="8" w:space="0"/>
              <w:right w:val="single" w:color="000000" w:sz="8" w:space="0"/>
            </w:tcBorders>
            <w:noWrap w:val="0"/>
            <w:vAlign w:val="center"/>
          </w:tcPr>
          <w:p w14:paraId="3928F466">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其中：与无形资产相关的递延所得税负债</w:t>
            </w:r>
          </w:p>
        </w:tc>
        <w:tc>
          <w:tcPr>
            <w:tcW w:w="940" w:type="pct"/>
            <w:tcBorders>
              <w:top w:val="nil"/>
              <w:left w:val="nil"/>
              <w:bottom w:val="single" w:color="000000" w:sz="8" w:space="0"/>
              <w:right w:val="single" w:color="000000" w:sz="8" w:space="0"/>
            </w:tcBorders>
            <w:noWrap w:val="0"/>
            <w:vAlign w:val="center"/>
          </w:tcPr>
          <w:p w14:paraId="6830B106">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063E87D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287D763C">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d</w:t>
            </w:r>
          </w:p>
        </w:tc>
      </w:tr>
      <w:tr w14:paraId="4CF76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540CCA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43</w:t>
            </w:r>
          </w:p>
        </w:tc>
        <w:tc>
          <w:tcPr>
            <w:tcW w:w="1857" w:type="pct"/>
            <w:tcBorders>
              <w:top w:val="nil"/>
              <w:left w:val="nil"/>
              <w:bottom w:val="single" w:color="000000" w:sz="8" w:space="0"/>
              <w:right w:val="single" w:color="000000" w:sz="8" w:space="0"/>
            </w:tcBorders>
            <w:noWrap w:val="0"/>
            <w:vAlign w:val="center"/>
          </w:tcPr>
          <w:p w14:paraId="6E28A68F">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预计负债</w:t>
            </w:r>
          </w:p>
        </w:tc>
        <w:tc>
          <w:tcPr>
            <w:tcW w:w="940" w:type="pct"/>
            <w:tcBorders>
              <w:top w:val="nil"/>
              <w:left w:val="nil"/>
              <w:bottom w:val="single" w:color="000000" w:sz="8" w:space="0"/>
              <w:right w:val="single" w:color="000000" w:sz="8" w:space="0"/>
            </w:tcBorders>
            <w:noWrap w:val="0"/>
            <w:vAlign w:val="center"/>
          </w:tcPr>
          <w:p w14:paraId="39525A3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574.75 </w:t>
            </w:r>
          </w:p>
        </w:tc>
        <w:tc>
          <w:tcPr>
            <w:tcW w:w="940" w:type="pct"/>
            <w:tcBorders>
              <w:top w:val="nil"/>
              <w:left w:val="nil"/>
              <w:bottom w:val="single" w:color="000000" w:sz="8" w:space="0"/>
              <w:right w:val="single" w:color="000000" w:sz="8" w:space="0"/>
            </w:tcBorders>
            <w:noWrap w:val="0"/>
            <w:vAlign w:val="center"/>
          </w:tcPr>
          <w:p w14:paraId="12281922">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574.75 </w:t>
            </w:r>
          </w:p>
        </w:tc>
        <w:tc>
          <w:tcPr>
            <w:tcW w:w="566" w:type="pct"/>
            <w:tcBorders>
              <w:top w:val="nil"/>
              <w:left w:val="nil"/>
              <w:bottom w:val="single" w:color="000000" w:sz="8" w:space="0"/>
              <w:right w:val="single" w:color="000000" w:sz="8" w:space="0"/>
            </w:tcBorders>
            <w:noWrap w:val="0"/>
            <w:vAlign w:val="center"/>
          </w:tcPr>
          <w:p w14:paraId="3BBC983A">
            <w:pPr>
              <w:jc w:val="both"/>
              <w:rPr>
                <w:rFonts w:hint="eastAsia" w:ascii="Arial Narrow" w:hAnsi="Arial Narrow" w:eastAsia="仿宋_GB2312" w:cs="宋体"/>
                <w:i w:val="0"/>
                <w:iCs w:val="0"/>
                <w:color w:val="000000"/>
                <w:sz w:val="21"/>
                <w:szCs w:val="21"/>
                <w:u w:val="none"/>
              </w:rPr>
            </w:pPr>
          </w:p>
        </w:tc>
      </w:tr>
      <w:tr w14:paraId="619D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641403A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44</w:t>
            </w:r>
          </w:p>
        </w:tc>
        <w:tc>
          <w:tcPr>
            <w:tcW w:w="1857" w:type="pct"/>
            <w:tcBorders>
              <w:top w:val="nil"/>
              <w:left w:val="nil"/>
              <w:bottom w:val="single" w:color="000000" w:sz="8" w:space="0"/>
              <w:right w:val="single" w:color="000000" w:sz="8" w:space="0"/>
            </w:tcBorders>
            <w:noWrap w:val="0"/>
            <w:vAlign w:val="center"/>
          </w:tcPr>
          <w:p w14:paraId="4510F738">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其他负债</w:t>
            </w:r>
          </w:p>
        </w:tc>
        <w:tc>
          <w:tcPr>
            <w:tcW w:w="940" w:type="pct"/>
            <w:tcBorders>
              <w:top w:val="nil"/>
              <w:left w:val="nil"/>
              <w:bottom w:val="single" w:color="000000" w:sz="8" w:space="0"/>
              <w:right w:val="single" w:color="000000" w:sz="8" w:space="0"/>
            </w:tcBorders>
            <w:noWrap w:val="0"/>
            <w:vAlign w:val="center"/>
          </w:tcPr>
          <w:p w14:paraId="2574B62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23,061.71 </w:t>
            </w:r>
          </w:p>
        </w:tc>
        <w:tc>
          <w:tcPr>
            <w:tcW w:w="940" w:type="pct"/>
            <w:tcBorders>
              <w:top w:val="nil"/>
              <w:left w:val="nil"/>
              <w:bottom w:val="single" w:color="000000" w:sz="8" w:space="0"/>
              <w:right w:val="single" w:color="000000" w:sz="8" w:space="0"/>
            </w:tcBorders>
            <w:noWrap w:val="0"/>
            <w:vAlign w:val="center"/>
          </w:tcPr>
          <w:p w14:paraId="6DADC38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23,061.71 </w:t>
            </w:r>
          </w:p>
        </w:tc>
        <w:tc>
          <w:tcPr>
            <w:tcW w:w="566" w:type="pct"/>
            <w:tcBorders>
              <w:top w:val="nil"/>
              <w:left w:val="nil"/>
              <w:bottom w:val="single" w:color="000000" w:sz="8" w:space="0"/>
              <w:right w:val="single" w:color="000000" w:sz="8" w:space="0"/>
            </w:tcBorders>
            <w:noWrap w:val="0"/>
            <w:vAlign w:val="center"/>
          </w:tcPr>
          <w:p w14:paraId="37CF349E">
            <w:pPr>
              <w:jc w:val="both"/>
              <w:rPr>
                <w:rFonts w:hint="eastAsia" w:ascii="Arial Narrow" w:hAnsi="Arial Narrow" w:eastAsia="仿宋_GB2312" w:cs="宋体"/>
                <w:i w:val="0"/>
                <w:iCs w:val="0"/>
                <w:color w:val="000000"/>
                <w:sz w:val="21"/>
                <w:szCs w:val="21"/>
                <w:u w:val="none"/>
              </w:rPr>
            </w:pPr>
          </w:p>
        </w:tc>
      </w:tr>
      <w:tr w14:paraId="5061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FDCA24C">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45</w:t>
            </w:r>
          </w:p>
        </w:tc>
        <w:tc>
          <w:tcPr>
            <w:tcW w:w="1857" w:type="pct"/>
            <w:tcBorders>
              <w:top w:val="nil"/>
              <w:left w:val="nil"/>
              <w:bottom w:val="single" w:color="000000" w:sz="8" w:space="0"/>
              <w:right w:val="single" w:color="000000" w:sz="8" w:space="0"/>
            </w:tcBorders>
            <w:noWrap w:val="0"/>
            <w:vAlign w:val="center"/>
          </w:tcPr>
          <w:p w14:paraId="2FE7656A">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负债合计</w:t>
            </w:r>
          </w:p>
        </w:tc>
        <w:tc>
          <w:tcPr>
            <w:tcW w:w="940" w:type="pct"/>
            <w:tcBorders>
              <w:top w:val="nil"/>
              <w:left w:val="nil"/>
              <w:bottom w:val="single" w:color="000000" w:sz="8" w:space="0"/>
              <w:right w:val="single" w:color="000000" w:sz="8" w:space="0"/>
            </w:tcBorders>
            <w:noWrap w:val="0"/>
            <w:vAlign w:val="center"/>
          </w:tcPr>
          <w:p w14:paraId="74E8EBF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20,851,669.46 </w:t>
            </w:r>
          </w:p>
        </w:tc>
        <w:tc>
          <w:tcPr>
            <w:tcW w:w="940" w:type="pct"/>
            <w:tcBorders>
              <w:top w:val="nil"/>
              <w:left w:val="nil"/>
              <w:bottom w:val="single" w:color="000000" w:sz="8" w:space="0"/>
              <w:right w:val="single" w:color="000000" w:sz="8" w:space="0"/>
            </w:tcBorders>
            <w:noWrap w:val="0"/>
            <w:vAlign w:val="center"/>
          </w:tcPr>
          <w:p w14:paraId="636EA0B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20,851,669.46 </w:t>
            </w:r>
          </w:p>
        </w:tc>
        <w:tc>
          <w:tcPr>
            <w:tcW w:w="566" w:type="pct"/>
            <w:tcBorders>
              <w:top w:val="nil"/>
              <w:left w:val="nil"/>
              <w:bottom w:val="single" w:color="000000" w:sz="8" w:space="0"/>
              <w:right w:val="single" w:color="000000" w:sz="8" w:space="0"/>
            </w:tcBorders>
            <w:noWrap w:val="0"/>
            <w:vAlign w:val="center"/>
          </w:tcPr>
          <w:p w14:paraId="7D1F5A29">
            <w:pPr>
              <w:jc w:val="both"/>
              <w:rPr>
                <w:rFonts w:hint="eastAsia" w:ascii="Arial Narrow" w:hAnsi="Arial Narrow" w:eastAsia="仿宋_GB2312" w:cs="宋体"/>
                <w:i w:val="0"/>
                <w:iCs w:val="0"/>
                <w:color w:val="000000"/>
                <w:sz w:val="21"/>
                <w:szCs w:val="21"/>
                <w:u w:val="none"/>
              </w:rPr>
            </w:pPr>
          </w:p>
        </w:tc>
      </w:tr>
      <w:tr w14:paraId="318D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000" w:type="pct"/>
            <w:gridSpan w:val="5"/>
            <w:tcBorders>
              <w:top w:val="nil"/>
              <w:left w:val="single" w:color="000000" w:sz="8" w:space="0"/>
              <w:bottom w:val="single" w:color="000000" w:sz="8" w:space="0"/>
              <w:right w:val="single" w:color="000000" w:sz="8" w:space="0"/>
            </w:tcBorders>
            <w:shd w:val="clear" w:color="auto" w:fill="A6A6A6"/>
            <w:noWrap w:val="0"/>
            <w:vAlign w:val="center"/>
          </w:tcPr>
          <w:p w14:paraId="609EBA6A">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所有者权益</w:t>
            </w:r>
          </w:p>
        </w:tc>
      </w:tr>
      <w:tr w14:paraId="3A0C3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AF83FB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46</w:t>
            </w:r>
          </w:p>
        </w:tc>
        <w:tc>
          <w:tcPr>
            <w:tcW w:w="1857" w:type="pct"/>
            <w:tcBorders>
              <w:top w:val="single" w:color="000000" w:sz="8" w:space="0"/>
              <w:left w:val="nil"/>
              <w:bottom w:val="single" w:color="000000" w:sz="8" w:space="0"/>
              <w:right w:val="single" w:color="000000" w:sz="8" w:space="0"/>
            </w:tcBorders>
            <w:noWrap w:val="0"/>
            <w:vAlign w:val="center"/>
          </w:tcPr>
          <w:p w14:paraId="3049BA4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实收资本（或股本）</w:t>
            </w:r>
          </w:p>
        </w:tc>
        <w:tc>
          <w:tcPr>
            <w:tcW w:w="940" w:type="pct"/>
            <w:tcBorders>
              <w:top w:val="single" w:color="000000" w:sz="8" w:space="0"/>
              <w:left w:val="nil"/>
              <w:bottom w:val="single" w:color="000000" w:sz="8" w:space="0"/>
              <w:right w:val="single" w:color="000000" w:sz="8" w:space="0"/>
            </w:tcBorders>
            <w:noWrap w:val="0"/>
            <w:vAlign w:val="center"/>
          </w:tcPr>
          <w:p w14:paraId="7AED65A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270,753.21 </w:t>
            </w:r>
          </w:p>
        </w:tc>
        <w:tc>
          <w:tcPr>
            <w:tcW w:w="940" w:type="pct"/>
            <w:tcBorders>
              <w:top w:val="single" w:color="000000" w:sz="8" w:space="0"/>
              <w:left w:val="nil"/>
              <w:bottom w:val="single" w:color="000000" w:sz="8" w:space="0"/>
              <w:right w:val="single" w:color="000000" w:sz="8" w:space="0"/>
            </w:tcBorders>
            <w:noWrap w:val="0"/>
            <w:vAlign w:val="center"/>
          </w:tcPr>
          <w:p w14:paraId="4C55D57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270,753.21 </w:t>
            </w:r>
          </w:p>
        </w:tc>
        <w:tc>
          <w:tcPr>
            <w:tcW w:w="566" w:type="pct"/>
            <w:tcBorders>
              <w:top w:val="single" w:color="000000" w:sz="8" w:space="0"/>
              <w:left w:val="nil"/>
              <w:bottom w:val="single" w:color="000000" w:sz="8" w:space="0"/>
              <w:right w:val="single" w:color="000000" w:sz="8" w:space="0"/>
            </w:tcBorders>
            <w:noWrap w:val="0"/>
            <w:vAlign w:val="center"/>
          </w:tcPr>
          <w:p w14:paraId="55490C15">
            <w:pPr>
              <w:jc w:val="both"/>
              <w:rPr>
                <w:rFonts w:hint="eastAsia" w:ascii="Arial Narrow" w:hAnsi="Arial Narrow" w:eastAsia="仿宋_GB2312" w:cs="宋体"/>
                <w:i w:val="0"/>
                <w:iCs w:val="0"/>
                <w:color w:val="000000"/>
                <w:sz w:val="21"/>
                <w:szCs w:val="21"/>
                <w:u w:val="none"/>
              </w:rPr>
            </w:pPr>
          </w:p>
        </w:tc>
      </w:tr>
      <w:tr w14:paraId="59E8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C38132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47</w:t>
            </w:r>
          </w:p>
        </w:tc>
        <w:tc>
          <w:tcPr>
            <w:tcW w:w="1857" w:type="pct"/>
            <w:tcBorders>
              <w:top w:val="nil"/>
              <w:left w:val="nil"/>
              <w:bottom w:val="single" w:color="000000" w:sz="8" w:space="0"/>
              <w:right w:val="single" w:color="000000" w:sz="8" w:space="0"/>
            </w:tcBorders>
            <w:noWrap w:val="0"/>
            <w:vAlign w:val="center"/>
          </w:tcPr>
          <w:p w14:paraId="4485239A">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其中：可计入核心一级资本的数额</w:t>
            </w:r>
          </w:p>
        </w:tc>
        <w:tc>
          <w:tcPr>
            <w:tcW w:w="940" w:type="pct"/>
            <w:tcBorders>
              <w:top w:val="nil"/>
              <w:left w:val="nil"/>
              <w:bottom w:val="single" w:color="000000" w:sz="8" w:space="0"/>
              <w:right w:val="single" w:color="000000" w:sz="8" w:space="0"/>
            </w:tcBorders>
            <w:noWrap w:val="0"/>
            <w:vAlign w:val="center"/>
          </w:tcPr>
          <w:p w14:paraId="4AB9E65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270,753.21 </w:t>
            </w:r>
          </w:p>
        </w:tc>
        <w:tc>
          <w:tcPr>
            <w:tcW w:w="940" w:type="pct"/>
            <w:tcBorders>
              <w:top w:val="nil"/>
              <w:left w:val="nil"/>
              <w:bottom w:val="single" w:color="000000" w:sz="8" w:space="0"/>
              <w:right w:val="single" w:color="000000" w:sz="8" w:space="0"/>
            </w:tcBorders>
            <w:noWrap w:val="0"/>
            <w:vAlign w:val="center"/>
          </w:tcPr>
          <w:p w14:paraId="2625939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270,753.21 </w:t>
            </w:r>
          </w:p>
        </w:tc>
        <w:tc>
          <w:tcPr>
            <w:tcW w:w="566" w:type="pct"/>
            <w:tcBorders>
              <w:top w:val="nil"/>
              <w:left w:val="nil"/>
              <w:bottom w:val="single" w:color="000000" w:sz="8" w:space="0"/>
              <w:right w:val="single" w:color="000000" w:sz="8" w:space="0"/>
            </w:tcBorders>
            <w:noWrap w:val="0"/>
            <w:vAlign w:val="center"/>
          </w:tcPr>
          <w:p w14:paraId="113DB196">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e</w:t>
            </w:r>
          </w:p>
        </w:tc>
      </w:tr>
      <w:tr w14:paraId="7DB73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75228CB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48</w:t>
            </w:r>
          </w:p>
        </w:tc>
        <w:tc>
          <w:tcPr>
            <w:tcW w:w="1857" w:type="pct"/>
            <w:tcBorders>
              <w:top w:val="nil"/>
              <w:left w:val="nil"/>
              <w:bottom w:val="single" w:color="000000" w:sz="8" w:space="0"/>
              <w:right w:val="single" w:color="000000" w:sz="8" w:space="0"/>
            </w:tcBorders>
            <w:noWrap w:val="0"/>
            <w:vAlign w:val="center"/>
          </w:tcPr>
          <w:p w14:paraId="4F3DB20F">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其中：可计入其他一级资本的数额</w:t>
            </w:r>
          </w:p>
        </w:tc>
        <w:tc>
          <w:tcPr>
            <w:tcW w:w="940" w:type="pct"/>
            <w:tcBorders>
              <w:top w:val="nil"/>
              <w:left w:val="nil"/>
              <w:bottom w:val="single" w:color="000000" w:sz="8" w:space="0"/>
              <w:right w:val="single" w:color="000000" w:sz="8" w:space="0"/>
            </w:tcBorders>
            <w:noWrap w:val="0"/>
            <w:vAlign w:val="center"/>
          </w:tcPr>
          <w:p w14:paraId="2CD8DA4D">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4A13EBE3">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6D746F61">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f</w:t>
            </w:r>
          </w:p>
        </w:tc>
      </w:tr>
      <w:tr w14:paraId="163D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20C23C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49</w:t>
            </w:r>
          </w:p>
        </w:tc>
        <w:tc>
          <w:tcPr>
            <w:tcW w:w="1857" w:type="pct"/>
            <w:tcBorders>
              <w:top w:val="nil"/>
              <w:left w:val="nil"/>
              <w:bottom w:val="single" w:color="000000" w:sz="8" w:space="0"/>
              <w:right w:val="single" w:color="000000" w:sz="8" w:space="0"/>
            </w:tcBorders>
            <w:noWrap w:val="0"/>
            <w:vAlign w:val="center"/>
          </w:tcPr>
          <w:p w14:paraId="27AD0CB0">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其他权益工具</w:t>
            </w:r>
          </w:p>
        </w:tc>
        <w:tc>
          <w:tcPr>
            <w:tcW w:w="940" w:type="pct"/>
            <w:tcBorders>
              <w:top w:val="nil"/>
              <w:left w:val="nil"/>
              <w:bottom w:val="single" w:color="000000" w:sz="8" w:space="0"/>
              <w:right w:val="single" w:color="000000" w:sz="8" w:space="0"/>
            </w:tcBorders>
            <w:noWrap w:val="0"/>
            <w:vAlign w:val="center"/>
          </w:tcPr>
          <w:p w14:paraId="7597101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940" w:type="pct"/>
            <w:tcBorders>
              <w:top w:val="nil"/>
              <w:left w:val="nil"/>
              <w:bottom w:val="single" w:color="000000" w:sz="8" w:space="0"/>
              <w:right w:val="single" w:color="000000" w:sz="8" w:space="0"/>
            </w:tcBorders>
            <w:noWrap w:val="0"/>
            <w:vAlign w:val="center"/>
          </w:tcPr>
          <w:p w14:paraId="3BFED4AA">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33898E99">
            <w:pPr>
              <w:jc w:val="both"/>
              <w:rPr>
                <w:rFonts w:hint="eastAsia" w:ascii="Arial Narrow" w:hAnsi="Arial Narrow" w:eastAsia="仿宋_GB2312" w:cs="宋体"/>
                <w:i w:val="0"/>
                <w:iCs w:val="0"/>
                <w:color w:val="000000"/>
                <w:sz w:val="21"/>
                <w:szCs w:val="21"/>
                <w:u w:val="none"/>
              </w:rPr>
            </w:pPr>
          </w:p>
        </w:tc>
      </w:tr>
      <w:tr w14:paraId="0BCD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8051AD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50</w:t>
            </w:r>
          </w:p>
        </w:tc>
        <w:tc>
          <w:tcPr>
            <w:tcW w:w="1857" w:type="pct"/>
            <w:tcBorders>
              <w:top w:val="nil"/>
              <w:left w:val="nil"/>
              <w:bottom w:val="single" w:color="000000" w:sz="8" w:space="0"/>
              <w:right w:val="single" w:color="000000" w:sz="8" w:space="0"/>
            </w:tcBorders>
            <w:noWrap w:val="0"/>
            <w:vAlign w:val="center"/>
          </w:tcPr>
          <w:p w14:paraId="07BF5155">
            <w:pPr>
              <w:keepNext w:val="0"/>
              <w:keepLines w:val="0"/>
              <w:widowControl/>
              <w:suppressLineNumbers w:val="0"/>
              <w:ind w:firstLineChars="10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其中：优先股</w:t>
            </w:r>
          </w:p>
        </w:tc>
        <w:tc>
          <w:tcPr>
            <w:tcW w:w="940" w:type="pct"/>
            <w:tcBorders>
              <w:top w:val="nil"/>
              <w:left w:val="nil"/>
              <w:bottom w:val="single" w:color="000000" w:sz="8" w:space="0"/>
              <w:right w:val="single" w:color="000000" w:sz="8" w:space="0"/>
            </w:tcBorders>
            <w:noWrap w:val="0"/>
            <w:vAlign w:val="center"/>
          </w:tcPr>
          <w:p w14:paraId="75A16942">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58788A7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0CA63952">
            <w:pPr>
              <w:jc w:val="both"/>
              <w:rPr>
                <w:rFonts w:hint="eastAsia" w:ascii="Arial Narrow" w:hAnsi="Arial Narrow" w:eastAsia="仿宋_GB2312" w:cs="宋体"/>
                <w:i w:val="0"/>
                <w:iCs w:val="0"/>
                <w:color w:val="000000"/>
                <w:sz w:val="21"/>
                <w:szCs w:val="21"/>
                <w:u w:val="none"/>
              </w:rPr>
            </w:pPr>
          </w:p>
        </w:tc>
      </w:tr>
      <w:tr w14:paraId="2D987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20EBFD3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51</w:t>
            </w:r>
          </w:p>
        </w:tc>
        <w:tc>
          <w:tcPr>
            <w:tcW w:w="1857" w:type="pct"/>
            <w:tcBorders>
              <w:top w:val="nil"/>
              <w:left w:val="nil"/>
              <w:bottom w:val="single" w:color="000000" w:sz="8" w:space="0"/>
              <w:right w:val="single" w:color="000000" w:sz="8" w:space="0"/>
            </w:tcBorders>
            <w:noWrap w:val="0"/>
            <w:vAlign w:val="center"/>
          </w:tcPr>
          <w:p w14:paraId="73C8CE20">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永续债</w:t>
            </w:r>
          </w:p>
        </w:tc>
        <w:tc>
          <w:tcPr>
            <w:tcW w:w="940" w:type="pct"/>
            <w:tcBorders>
              <w:top w:val="nil"/>
              <w:left w:val="nil"/>
              <w:bottom w:val="single" w:color="000000" w:sz="8" w:space="0"/>
              <w:right w:val="single" w:color="000000" w:sz="8" w:space="0"/>
            </w:tcBorders>
            <w:noWrap w:val="0"/>
            <w:vAlign w:val="center"/>
          </w:tcPr>
          <w:p w14:paraId="6A4CACF5">
            <w:pPr>
              <w:jc w:val="right"/>
              <w:rPr>
                <w:rFonts w:hint="eastAsia" w:ascii="Arial Narrow" w:hAnsi="Arial Narrow" w:eastAsia="仿宋_GB2312" w:cs="宋体"/>
                <w:i w:val="0"/>
                <w:iCs w:val="0"/>
                <w:color w:val="000000"/>
                <w:sz w:val="21"/>
                <w:szCs w:val="21"/>
                <w:u w:val="none"/>
              </w:rPr>
            </w:pPr>
          </w:p>
        </w:tc>
        <w:tc>
          <w:tcPr>
            <w:tcW w:w="940" w:type="pct"/>
            <w:tcBorders>
              <w:top w:val="nil"/>
              <w:left w:val="nil"/>
              <w:bottom w:val="single" w:color="000000" w:sz="8" w:space="0"/>
              <w:right w:val="single" w:color="000000" w:sz="8" w:space="0"/>
            </w:tcBorders>
            <w:noWrap w:val="0"/>
            <w:vAlign w:val="center"/>
          </w:tcPr>
          <w:p w14:paraId="78BC82C7">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   </w:t>
            </w:r>
          </w:p>
        </w:tc>
        <w:tc>
          <w:tcPr>
            <w:tcW w:w="566" w:type="pct"/>
            <w:tcBorders>
              <w:top w:val="nil"/>
              <w:left w:val="nil"/>
              <w:bottom w:val="single" w:color="000000" w:sz="8" w:space="0"/>
              <w:right w:val="single" w:color="000000" w:sz="8" w:space="0"/>
            </w:tcBorders>
            <w:noWrap w:val="0"/>
            <w:vAlign w:val="center"/>
          </w:tcPr>
          <w:p w14:paraId="65ADB032">
            <w:pPr>
              <w:jc w:val="both"/>
              <w:rPr>
                <w:rFonts w:hint="eastAsia" w:ascii="Arial Narrow" w:hAnsi="Arial Narrow" w:eastAsia="仿宋_GB2312" w:cs="宋体"/>
                <w:i w:val="0"/>
                <w:iCs w:val="0"/>
                <w:color w:val="000000"/>
                <w:sz w:val="21"/>
                <w:szCs w:val="21"/>
                <w:u w:val="none"/>
              </w:rPr>
            </w:pPr>
          </w:p>
        </w:tc>
      </w:tr>
      <w:tr w14:paraId="0C7D6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786BA7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52</w:t>
            </w:r>
          </w:p>
        </w:tc>
        <w:tc>
          <w:tcPr>
            <w:tcW w:w="1857" w:type="pct"/>
            <w:tcBorders>
              <w:top w:val="nil"/>
              <w:left w:val="nil"/>
              <w:bottom w:val="single" w:color="000000" w:sz="8" w:space="0"/>
              <w:right w:val="single" w:color="000000" w:sz="8" w:space="0"/>
            </w:tcBorders>
            <w:noWrap w:val="0"/>
            <w:vAlign w:val="center"/>
          </w:tcPr>
          <w:p w14:paraId="4106EAA3">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资本公积</w:t>
            </w:r>
          </w:p>
        </w:tc>
        <w:tc>
          <w:tcPr>
            <w:tcW w:w="940" w:type="pct"/>
            <w:tcBorders>
              <w:top w:val="nil"/>
              <w:left w:val="nil"/>
              <w:bottom w:val="single" w:color="000000" w:sz="8" w:space="0"/>
              <w:right w:val="single" w:color="000000" w:sz="8" w:space="0"/>
            </w:tcBorders>
            <w:noWrap w:val="0"/>
            <w:vAlign w:val="center"/>
          </w:tcPr>
          <w:p w14:paraId="5DF6158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191,634.01 </w:t>
            </w:r>
          </w:p>
        </w:tc>
        <w:tc>
          <w:tcPr>
            <w:tcW w:w="940" w:type="pct"/>
            <w:tcBorders>
              <w:top w:val="nil"/>
              <w:left w:val="nil"/>
              <w:bottom w:val="single" w:color="000000" w:sz="8" w:space="0"/>
              <w:right w:val="single" w:color="000000" w:sz="8" w:space="0"/>
            </w:tcBorders>
            <w:noWrap w:val="0"/>
            <w:vAlign w:val="center"/>
          </w:tcPr>
          <w:p w14:paraId="67FE0F6F">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191,634.01 </w:t>
            </w:r>
          </w:p>
        </w:tc>
        <w:tc>
          <w:tcPr>
            <w:tcW w:w="566" w:type="pct"/>
            <w:tcBorders>
              <w:top w:val="nil"/>
              <w:left w:val="nil"/>
              <w:bottom w:val="single" w:color="000000" w:sz="8" w:space="0"/>
              <w:right w:val="single" w:color="000000" w:sz="8" w:space="0"/>
            </w:tcBorders>
            <w:noWrap w:val="0"/>
            <w:vAlign w:val="center"/>
          </w:tcPr>
          <w:p w14:paraId="284352B7">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g</w:t>
            </w:r>
          </w:p>
        </w:tc>
      </w:tr>
      <w:tr w14:paraId="212E8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D087A5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53</w:t>
            </w:r>
          </w:p>
        </w:tc>
        <w:tc>
          <w:tcPr>
            <w:tcW w:w="1857" w:type="pct"/>
            <w:tcBorders>
              <w:top w:val="nil"/>
              <w:left w:val="nil"/>
              <w:bottom w:val="single" w:color="000000" w:sz="8" w:space="0"/>
              <w:right w:val="single" w:color="000000" w:sz="8" w:space="0"/>
            </w:tcBorders>
            <w:noWrap w:val="0"/>
            <w:vAlign w:val="center"/>
          </w:tcPr>
          <w:p w14:paraId="29BB0A7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其他综合收益</w:t>
            </w:r>
          </w:p>
        </w:tc>
        <w:tc>
          <w:tcPr>
            <w:tcW w:w="940" w:type="pct"/>
            <w:tcBorders>
              <w:top w:val="nil"/>
              <w:left w:val="nil"/>
              <w:bottom w:val="single" w:color="000000" w:sz="8" w:space="0"/>
              <w:right w:val="single" w:color="000000" w:sz="8" w:space="0"/>
            </w:tcBorders>
            <w:noWrap w:val="0"/>
            <w:vAlign w:val="center"/>
          </w:tcPr>
          <w:p w14:paraId="776B1454">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6,314.83 </w:t>
            </w:r>
          </w:p>
        </w:tc>
        <w:tc>
          <w:tcPr>
            <w:tcW w:w="940" w:type="pct"/>
            <w:tcBorders>
              <w:top w:val="nil"/>
              <w:left w:val="nil"/>
              <w:bottom w:val="single" w:color="000000" w:sz="8" w:space="0"/>
              <w:right w:val="single" w:color="000000" w:sz="8" w:space="0"/>
            </w:tcBorders>
            <w:noWrap w:val="0"/>
            <w:vAlign w:val="center"/>
          </w:tcPr>
          <w:p w14:paraId="6847F9F8">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6,314.83 </w:t>
            </w:r>
          </w:p>
        </w:tc>
        <w:tc>
          <w:tcPr>
            <w:tcW w:w="566" w:type="pct"/>
            <w:tcBorders>
              <w:top w:val="nil"/>
              <w:left w:val="nil"/>
              <w:bottom w:val="single" w:color="000000" w:sz="8" w:space="0"/>
              <w:right w:val="single" w:color="000000" w:sz="8" w:space="0"/>
            </w:tcBorders>
            <w:noWrap w:val="0"/>
            <w:vAlign w:val="center"/>
          </w:tcPr>
          <w:p w14:paraId="407BE1E2">
            <w:pPr>
              <w:jc w:val="both"/>
              <w:rPr>
                <w:rFonts w:hint="eastAsia" w:ascii="Arial Narrow" w:hAnsi="Arial Narrow" w:eastAsia="仿宋_GB2312" w:cs="宋体"/>
                <w:i w:val="0"/>
                <w:iCs w:val="0"/>
                <w:color w:val="000000"/>
                <w:sz w:val="21"/>
                <w:szCs w:val="21"/>
                <w:u w:val="none"/>
              </w:rPr>
            </w:pPr>
          </w:p>
        </w:tc>
      </w:tr>
      <w:tr w14:paraId="0816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34B1D7B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54</w:t>
            </w:r>
          </w:p>
        </w:tc>
        <w:tc>
          <w:tcPr>
            <w:tcW w:w="1857" w:type="pct"/>
            <w:tcBorders>
              <w:top w:val="nil"/>
              <w:left w:val="nil"/>
              <w:bottom w:val="single" w:color="000000" w:sz="8" w:space="0"/>
              <w:right w:val="single" w:color="000000" w:sz="8" w:space="0"/>
            </w:tcBorders>
            <w:noWrap w:val="0"/>
            <w:vAlign w:val="center"/>
          </w:tcPr>
          <w:p w14:paraId="2C372CA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盈余公积</w:t>
            </w:r>
          </w:p>
        </w:tc>
        <w:tc>
          <w:tcPr>
            <w:tcW w:w="940" w:type="pct"/>
            <w:tcBorders>
              <w:top w:val="nil"/>
              <w:left w:val="nil"/>
              <w:bottom w:val="single" w:color="000000" w:sz="8" w:space="0"/>
              <w:right w:val="single" w:color="000000" w:sz="8" w:space="0"/>
            </w:tcBorders>
            <w:noWrap w:val="0"/>
            <w:vAlign w:val="center"/>
          </w:tcPr>
          <w:p w14:paraId="243C4B1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761,052.81 </w:t>
            </w:r>
          </w:p>
        </w:tc>
        <w:tc>
          <w:tcPr>
            <w:tcW w:w="940" w:type="pct"/>
            <w:tcBorders>
              <w:top w:val="nil"/>
              <w:left w:val="nil"/>
              <w:bottom w:val="single" w:color="000000" w:sz="8" w:space="0"/>
              <w:right w:val="single" w:color="000000" w:sz="8" w:space="0"/>
            </w:tcBorders>
            <w:noWrap w:val="0"/>
            <w:vAlign w:val="center"/>
          </w:tcPr>
          <w:p w14:paraId="78737C8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761,052.81 </w:t>
            </w:r>
          </w:p>
        </w:tc>
        <w:tc>
          <w:tcPr>
            <w:tcW w:w="566" w:type="pct"/>
            <w:tcBorders>
              <w:top w:val="nil"/>
              <w:left w:val="nil"/>
              <w:bottom w:val="single" w:color="000000" w:sz="8" w:space="0"/>
              <w:right w:val="single" w:color="000000" w:sz="8" w:space="0"/>
            </w:tcBorders>
            <w:noWrap w:val="0"/>
            <w:vAlign w:val="center"/>
          </w:tcPr>
          <w:p w14:paraId="5680A0DE">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h</w:t>
            </w:r>
          </w:p>
        </w:tc>
      </w:tr>
      <w:tr w14:paraId="7592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5AF2498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55</w:t>
            </w:r>
          </w:p>
        </w:tc>
        <w:tc>
          <w:tcPr>
            <w:tcW w:w="1857" w:type="pct"/>
            <w:tcBorders>
              <w:top w:val="nil"/>
              <w:left w:val="nil"/>
              <w:bottom w:val="single" w:color="000000" w:sz="8" w:space="0"/>
              <w:right w:val="single" w:color="000000" w:sz="8" w:space="0"/>
            </w:tcBorders>
            <w:noWrap w:val="0"/>
            <w:vAlign w:val="center"/>
          </w:tcPr>
          <w:p w14:paraId="19C4AE4C">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一般风险准备</w:t>
            </w:r>
          </w:p>
        </w:tc>
        <w:tc>
          <w:tcPr>
            <w:tcW w:w="940" w:type="pct"/>
            <w:tcBorders>
              <w:top w:val="nil"/>
              <w:left w:val="nil"/>
              <w:bottom w:val="single" w:color="000000" w:sz="8" w:space="0"/>
              <w:right w:val="single" w:color="000000" w:sz="8" w:space="0"/>
            </w:tcBorders>
            <w:noWrap w:val="0"/>
            <w:vAlign w:val="center"/>
          </w:tcPr>
          <w:p w14:paraId="1DA370D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387,247.27 </w:t>
            </w:r>
          </w:p>
        </w:tc>
        <w:tc>
          <w:tcPr>
            <w:tcW w:w="940" w:type="pct"/>
            <w:tcBorders>
              <w:top w:val="nil"/>
              <w:left w:val="nil"/>
              <w:bottom w:val="single" w:color="000000" w:sz="8" w:space="0"/>
              <w:right w:val="single" w:color="000000" w:sz="8" w:space="0"/>
            </w:tcBorders>
            <w:noWrap w:val="0"/>
            <w:vAlign w:val="center"/>
          </w:tcPr>
          <w:p w14:paraId="1796699B">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387,247.27 </w:t>
            </w:r>
          </w:p>
        </w:tc>
        <w:tc>
          <w:tcPr>
            <w:tcW w:w="566" w:type="pct"/>
            <w:tcBorders>
              <w:top w:val="nil"/>
              <w:left w:val="nil"/>
              <w:bottom w:val="single" w:color="000000" w:sz="8" w:space="0"/>
              <w:right w:val="single" w:color="000000" w:sz="8" w:space="0"/>
            </w:tcBorders>
            <w:noWrap w:val="0"/>
            <w:vAlign w:val="center"/>
          </w:tcPr>
          <w:p w14:paraId="7DA86D48">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i</w:t>
            </w:r>
          </w:p>
        </w:tc>
      </w:tr>
      <w:tr w14:paraId="5A1E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10A1F04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56</w:t>
            </w:r>
          </w:p>
        </w:tc>
        <w:tc>
          <w:tcPr>
            <w:tcW w:w="1857" w:type="pct"/>
            <w:tcBorders>
              <w:top w:val="nil"/>
              <w:left w:val="nil"/>
              <w:bottom w:val="single" w:color="000000" w:sz="8" w:space="0"/>
              <w:right w:val="single" w:color="000000" w:sz="8" w:space="0"/>
            </w:tcBorders>
            <w:noWrap w:val="0"/>
            <w:vAlign w:val="center"/>
          </w:tcPr>
          <w:p w14:paraId="21BA72BF">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未分配利润</w:t>
            </w:r>
          </w:p>
        </w:tc>
        <w:tc>
          <w:tcPr>
            <w:tcW w:w="940" w:type="pct"/>
            <w:tcBorders>
              <w:top w:val="nil"/>
              <w:left w:val="nil"/>
              <w:bottom w:val="single" w:color="000000" w:sz="8" w:space="0"/>
              <w:right w:val="single" w:color="000000" w:sz="8" w:space="0"/>
            </w:tcBorders>
            <w:noWrap w:val="0"/>
            <w:vAlign w:val="center"/>
          </w:tcPr>
          <w:p w14:paraId="34231B3E">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412,781.58 </w:t>
            </w:r>
          </w:p>
        </w:tc>
        <w:tc>
          <w:tcPr>
            <w:tcW w:w="940" w:type="pct"/>
            <w:tcBorders>
              <w:top w:val="nil"/>
              <w:left w:val="nil"/>
              <w:bottom w:val="single" w:color="000000" w:sz="8" w:space="0"/>
              <w:right w:val="single" w:color="000000" w:sz="8" w:space="0"/>
            </w:tcBorders>
            <w:noWrap w:val="0"/>
            <w:vAlign w:val="center"/>
          </w:tcPr>
          <w:p w14:paraId="62DFED26">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412,781.58 </w:t>
            </w:r>
          </w:p>
        </w:tc>
        <w:tc>
          <w:tcPr>
            <w:tcW w:w="566" w:type="pct"/>
            <w:tcBorders>
              <w:top w:val="nil"/>
              <w:left w:val="nil"/>
              <w:bottom w:val="single" w:color="000000" w:sz="8" w:space="0"/>
              <w:right w:val="single" w:color="000000" w:sz="8" w:space="0"/>
            </w:tcBorders>
            <w:noWrap w:val="0"/>
            <w:vAlign w:val="center"/>
          </w:tcPr>
          <w:p w14:paraId="37D94F95">
            <w:pPr>
              <w:keepNext w:val="0"/>
              <w:keepLines w:val="0"/>
              <w:widowControl/>
              <w:suppressLineNumbers w:val="0"/>
              <w:jc w:val="left"/>
              <w:textAlignment w:val="center"/>
              <w:rPr>
                <w:rFonts w:hint="eastAsia" w:ascii="Arial Narrow" w:hAnsi="Arial Narrow" w:eastAsia="仿宋_GB2312" w:cs="宋体"/>
                <w:i w:val="0"/>
                <w:iCs w:val="0"/>
                <w:color w:val="000000"/>
                <w:sz w:val="21"/>
                <w:szCs w:val="21"/>
                <w:u w:val="none"/>
              </w:rPr>
            </w:pPr>
            <w:r>
              <w:rPr>
                <w:rFonts w:hint="eastAsia" w:ascii="Arial Narrow" w:hAnsi="Arial Narrow" w:eastAsia="仿宋_GB2312" w:cs="宋体"/>
                <w:i w:val="0"/>
                <w:iCs w:val="0"/>
                <w:color w:val="000000"/>
                <w:kern w:val="0"/>
                <w:sz w:val="21"/>
                <w:szCs w:val="21"/>
                <w:u w:val="none"/>
                <w:lang w:val="en-US" w:eastAsia="zh-CN" w:bidi="ar"/>
              </w:rPr>
              <w:t>j</w:t>
            </w:r>
          </w:p>
        </w:tc>
      </w:tr>
      <w:tr w14:paraId="6BB7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4EDDB01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57</w:t>
            </w:r>
          </w:p>
        </w:tc>
        <w:tc>
          <w:tcPr>
            <w:tcW w:w="1857" w:type="pct"/>
            <w:tcBorders>
              <w:top w:val="nil"/>
              <w:left w:val="nil"/>
              <w:bottom w:val="single" w:color="000000" w:sz="8" w:space="0"/>
              <w:right w:val="single" w:color="000000" w:sz="8" w:space="0"/>
            </w:tcBorders>
            <w:noWrap w:val="0"/>
            <w:vAlign w:val="center"/>
          </w:tcPr>
          <w:p w14:paraId="014D0899">
            <w:pPr>
              <w:keepNext w:val="0"/>
              <w:keepLines w:val="0"/>
              <w:widowControl/>
              <w:suppressLineNumbers w:val="0"/>
              <w:jc w:val="left"/>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少数股东权益</w:t>
            </w:r>
          </w:p>
        </w:tc>
        <w:tc>
          <w:tcPr>
            <w:tcW w:w="940" w:type="pct"/>
            <w:tcBorders>
              <w:top w:val="nil"/>
              <w:left w:val="nil"/>
              <w:bottom w:val="single" w:color="000000" w:sz="8" w:space="0"/>
              <w:right w:val="single" w:color="000000" w:sz="8" w:space="0"/>
            </w:tcBorders>
            <w:noWrap w:val="0"/>
            <w:vAlign w:val="center"/>
          </w:tcPr>
          <w:p w14:paraId="2664FA09">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7,589.79 </w:t>
            </w:r>
          </w:p>
        </w:tc>
        <w:tc>
          <w:tcPr>
            <w:tcW w:w="940" w:type="pct"/>
            <w:tcBorders>
              <w:top w:val="nil"/>
              <w:left w:val="nil"/>
              <w:bottom w:val="single" w:color="000000" w:sz="8" w:space="0"/>
              <w:right w:val="single" w:color="000000" w:sz="8" w:space="0"/>
            </w:tcBorders>
            <w:noWrap w:val="0"/>
            <w:vAlign w:val="center"/>
          </w:tcPr>
          <w:p w14:paraId="2AB29BFD">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7,589.79 </w:t>
            </w:r>
          </w:p>
        </w:tc>
        <w:tc>
          <w:tcPr>
            <w:tcW w:w="566" w:type="pct"/>
            <w:tcBorders>
              <w:top w:val="nil"/>
              <w:left w:val="nil"/>
              <w:bottom w:val="single" w:color="000000" w:sz="8" w:space="0"/>
              <w:right w:val="single" w:color="000000" w:sz="8" w:space="0"/>
            </w:tcBorders>
            <w:noWrap w:val="0"/>
            <w:vAlign w:val="center"/>
          </w:tcPr>
          <w:p w14:paraId="5FE79D87">
            <w:pPr>
              <w:jc w:val="both"/>
              <w:rPr>
                <w:rFonts w:hint="eastAsia" w:ascii="Arial Narrow" w:hAnsi="Arial Narrow" w:eastAsia="仿宋_GB2312" w:cs="宋体"/>
                <w:i w:val="0"/>
                <w:iCs w:val="0"/>
                <w:color w:val="000000"/>
                <w:sz w:val="21"/>
                <w:szCs w:val="21"/>
                <w:u w:val="none"/>
              </w:rPr>
            </w:pPr>
          </w:p>
        </w:tc>
      </w:tr>
      <w:tr w14:paraId="42CA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94" w:type="pct"/>
            <w:tcBorders>
              <w:top w:val="nil"/>
              <w:left w:val="single" w:color="000000" w:sz="8" w:space="0"/>
              <w:bottom w:val="single" w:color="000000" w:sz="8" w:space="0"/>
              <w:right w:val="single" w:color="000000" w:sz="8" w:space="0"/>
            </w:tcBorders>
            <w:noWrap w:val="0"/>
            <w:vAlign w:val="center"/>
          </w:tcPr>
          <w:p w14:paraId="0423D4E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1"/>
                <w:u w:val="none"/>
              </w:rPr>
            </w:pPr>
            <w:r>
              <w:rPr>
                <w:rFonts w:hint="eastAsia" w:ascii="Arial Narrow" w:hAnsi="Arial Narrow" w:eastAsia="仿宋_GB2312" w:cs="黑体"/>
                <w:i w:val="0"/>
                <w:iCs w:val="0"/>
                <w:color w:val="000000"/>
                <w:kern w:val="0"/>
                <w:sz w:val="21"/>
                <w:szCs w:val="21"/>
                <w:u w:val="none"/>
                <w:lang w:val="en-US" w:eastAsia="zh-CN" w:bidi="ar"/>
              </w:rPr>
              <w:t>58</w:t>
            </w:r>
          </w:p>
        </w:tc>
        <w:tc>
          <w:tcPr>
            <w:tcW w:w="1857" w:type="pct"/>
            <w:tcBorders>
              <w:top w:val="nil"/>
              <w:left w:val="nil"/>
              <w:bottom w:val="single" w:color="000000" w:sz="8" w:space="0"/>
              <w:right w:val="single" w:color="000000" w:sz="8" w:space="0"/>
            </w:tcBorders>
            <w:noWrap w:val="0"/>
            <w:vAlign w:val="center"/>
          </w:tcPr>
          <w:p w14:paraId="2008306D">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1"/>
                <w:u w:val="none"/>
              </w:rPr>
            </w:pPr>
            <w:r>
              <w:rPr>
                <w:rFonts w:hint="eastAsia" w:ascii="Arial Narrow" w:hAnsi="Arial Narrow" w:eastAsia="仿宋_GB2312" w:cs="黑体"/>
                <w:b/>
                <w:bCs/>
                <w:i w:val="0"/>
                <w:iCs w:val="0"/>
                <w:color w:val="000000"/>
                <w:kern w:val="0"/>
                <w:sz w:val="21"/>
                <w:szCs w:val="21"/>
                <w:u w:val="none"/>
                <w:lang w:val="en-US" w:eastAsia="zh-CN" w:bidi="ar"/>
              </w:rPr>
              <w:t>所有者权益合计</w:t>
            </w:r>
          </w:p>
        </w:tc>
        <w:tc>
          <w:tcPr>
            <w:tcW w:w="940" w:type="pct"/>
            <w:tcBorders>
              <w:top w:val="nil"/>
              <w:left w:val="nil"/>
              <w:bottom w:val="single" w:color="000000" w:sz="8" w:space="0"/>
              <w:right w:val="single" w:color="000000" w:sz="8" w:space="0"/>
            </w:tcBorders>
            <w:noWrap w:val="0"/>
            <w:vAlign w:val="center"/>
          </w:tcPr>
          <w:p w14:paraId="3D9BC460">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2,037,373.50 </w:t>
            </w:r>
          </w:p>
        </w:tc>
        <w:tc>
          <w:tcPr>
            <w:tcW w:w="940" w:type="pct"/>
            <w:tcBorders>
              <w:top w:val="nil"/>
              <w:left w:val="nil"/>
              <w:bottom w:val="single" w:color="000000" w:sz="8" w:space="0"/>
              <w:right w:val="single" w:color="000000" w:sz="8" w:space="0"/>
            </w:tcBorders>
            <w:noWrap w:val="0"/>
            <w:vAlign w:val="center"/>
          </w:tcPr>
          <w:p w14:paraId="38F2BCD5">
            <w:pPr>
              <w:keepNext w:val="0"/>
              <w:keepLines w:val="0"/>
              <w:widowControl/>
              <w:suppressLineNumbers w:val="0"/>
              <w:jc w:val="right"/>
              <w:textAlignment w:val="center"/>
              <w:rPr>
                <w:rFonts w:hint="default" w:ascii="Arial Narrow" w:hAnsi="Arial Narrow" w:eastAsia="仿宋_GB2312" w:cs="Times New Roman"/>
                <w:i w:val="0"/>
                <w:iCs w:val="0"/>
                <w:color w:val="000000"/>
                <w:sz w:val="21"/>
                <w:szCs w:val="21"/>
                <w:u w:val="none"/>
              </w:rPr>
            </w:pPr>
            <w:r>
              <w:rPr>
                <w:rFonts w:hint="default" w:ascii="Arial Narrow" w:hAnsi="Arial Narrow" w:eastAsia="仿宋_GB2312" w:cs="Times New Roman"/>
                <w:i w:val="0"/>
                <w:iCs w:val="0"/>
                <w:color w:val="000000"/>
                <w:kern w:val="0"/>
                <w:sz w:val="21"/>
                <w:szCs w:val="21"/>
                <w:u w:val="none"/>
                <w:lang w:val="en-US" w:eastAsia="zh-CN" w:bidi="ar"/>
              </w:rPr>
              <w:t xml:space="preserve"> 2,037,373.50 </w:t>
            </w:r>
          </w:p>
        </w:tc>
        <w:tc>
          <w:tcPr>
            <w:tcW w:w="566" w:type="pct"/>
            <w:tcBorders>
              <w:top w:val="nil"/>
              <w:left w:val="nil"/>
              <w:bottom w:val="single" w:color="000000" w:sz="8" w:space="0"/>
              <w:right w:val="single" w:color="000000" w:sz="8" w:space="0"/>
            </w:tcBorders>
            <w:noWrap/>
            <w:vAlign w:val="center"/>
          </w:tcPr>
          <w:p w14:paraId="5FA8DB6D">
            <w:pPr>
              <w:rPr>
                <w:rFonts w:hint="eastAsia" w:ascii="Arial Narrow" w:hAnsi="Arial Narrow" w:eastAsia="仿宋_GB2312" w:cs="宋体"/>
                <w:i w:val="0"/>
                <w:iCs w:val="0"/>
                <w:color w:val="000000"/>
                <w:sz w:val="21"/>
                <w:szCs w:val="21"/>
                <w:u w:val="none"/>
              </w:rPr>
            </w:pPr>
          </w:p>
        </w:tc>
      </w:tr>
    </w:tbl>
    <w:p w14:paraId="02FDF544">
      <w:pPr>
        <w:ind w:firstLine="623" w:firstLineChars="200"/>
        <w:rPr>
          <w:rFonts w:hint="eastAsia" w:ascii="仿宋_GB2312" w:hAnsi="宋体" w:eastAsia="仿宋_GB2312" w:cs="宋体"/>
          <w:b/>
          <w:bCs/>
          <w:color w:val="000000"/>
          <w:spacing w:val="-5"/>
          <w:kern w:val="0"/>
          <w:sz w:val="32"/>
          <w:szCs w:val="32"/>
        </w:rPr>
      </w:pPr>
    </w:p>
    <w:p w14:paraId="6CC65688">
      <w:pPr>
        <w:pStyle w:val="21"/>
        <w:bidi w:val="0"/>
      </w:pPr>
      <w:r>
        <w:rPr>
          <w:rFonts w:hint="eastAsia"/>
          <w:lang w:val="en-US" w:eastAsia="zh-CN"/>
        </w:rPr>
        <w:t>4</w:t>
      </w:r>
      <w:r>
        <w:t xml:space="preserve"> 杠杆率 </w:t>
      </w:r>
    </w:p>
    <w:p w14:paraId="3504EA13">
      <w:pPr>
        <w:pStyle w:val="21"/>
        <w:bidi w:val="0"/>
      </w:pPr>
      <w:r>
        <w:rPr>
          <w:rFonts w:hint="eastAsia"/>
          <w:lang w:val="en-US" w:eastAsia="zh-CN"/>
        </w:rPr>
        <w:t>4</w:t>
      </w:r>
      <w:r>
        <w:t xml:space="preserve">.1 杠杆率监管项目与相关会计项目的差异 </w:t>
      </w:r>
    </w:p>
    <w:p w14:paraId="379BE7CA">
      <w:pPr>
        <w:pStyle w:val="17"/>
        <w:bidi w:val="0"/>
        <w:rPr>
          <w:rFonts w:hint="eastAsia"/>
        </w:rPr>
      </w:pPr>
      <w:r>
        <w:t>下表列示本行资产负债表中的总资产和杠杆率调整后的表内外资产余额的对比关系。</w:t>
      </w:r>
    </w:p>
    <w:p w14:paraId="01F0A608">
      <w:pPr>
        <w:pStyle w:val="17"/>
        <w:bidi w:val="0"/>
        <w:ind w:left="0" w:leftChars="0" w:firstLine="0" w:firstLineChars="0"/>
        <w:jc w:val="center"/>
        <w:rPr>
          <w:b/>
          <w:bCs/>
        </w:rPr>
      </w:pPr>
      <w:r>
        <w:rPr>
          <w:rFonts w:hint="eastAsia"/>
          <w:b/>
          <w:bCs/>
        </w:rPr>
        <w:t>表格 LR1：杠杆率监管项目与相关会计项目的差异</w:t>
      </w:r>
    </w:p>
    <w:p w14:paraId="10472695">
      <w:pPr>
        <w:pStyle w:val="17"/>
        <w:bidi w:val="0"/>
        <w:ind w:left="0" w:leftChars="0" w:firstLine="0" w:firstLineChars="0"/>
        <w:jc w:val="center"/>
        <w:rPr>
          <w:rFonts w:hint="eastAsia"/>
        </w:rPr>
      </w:pPr>
      <w:r>
        <w:rPr>
          <w:rFonts w:hint="eastAsia"/>
        </w:rPr>
        <w:t>单位：人民币万元</w:t>
      </w:r>
    </w:p>
    <w:tbl>
      <w:tblPr>
        <w:tblStyle w:val="1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39"/>
        <w:gridCol w:w="2841"/>
        <w:gridCol w:w="2840"/>
      </w:tblGrid>
      <w:tr w14:paraId="7E486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33" w:type="pct"/>
            <w:gridSpan w:val="2"/>
            <w:tcBorders>
              <w:top w:val="single" w:color="000000" w:sz="8" w:space="0"/>
              <w:left w:val="single" w:color="000000" w:sz="8" w:space="0"/>
              <w:bottom w:val="single" w:color="000000" w:sz="8" w:space="0"/>
              <w:right w:val="single" w:color="000000" w:sz="8" w:space="0"/>
            </w:tcBorders>
            <w:noWrap/>
            <w:vAlign w:val="center"/>
          </w:tcPr>
          <w:p w14:paraId="314F90A7">
            <w:pPr>
              <w:rPr>
                <w:rFonts w:hint="eastAsia" w:ascii="Arial Narrow" w:hAnsi="Arial Narrow" w:eastAsia="仿宋_GB2312" w:cs="宋体"/>
                <w:i w:val="0"/>
                <w:iCs w:val="0"/>
                <w:color w:val="000000"/>
                <w:sz w:val="21"/>
                <w:szCs w:val="22"/>
                <w:u w:val="none"/>
              </w:rPr>
            </w:pPr>
          </w:p>
        </w:tc>
        <w:tc>
          <w:tcPr>
            <w:tcW w:w="1666" w:type="pct"/>
            <w:tcBorders>
              <w:top w:val="single" w:color="000000" w:sz="8" w:space="0"/>
              <w:left w:val="nil"/>
              <w:bottom w:val="single" w:color="000000" w:sz="8" w:space="0"/>
              <w:right w:val="single" w:color="000000" w:sz="8" w:space="0"/>
            </w:tcBorders>
            <w:noWrap w:val="0"/>
            <w:vAlign w:val="center"/>
          </w:tcPr>
          <w:p w14:paraId="1B1D22F7">
            <w:pPr>
              <w:keepNext w:val="0"/>
              <w:keepLines w:val="0"/>
              <w:widowControl/>
              <w:suppressLineNumbers w:val="0"/>
              <w:jc w:val="center"/>
              <w:textAlignment w:val="center"/>
              <w:rPr>
                <w:rFonts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a</w:t>
            </w:r>
          </w:p>
        </w:tc>
      </w:tr>
      <w:tr w14:paraId="7A5F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33" w:type="pct"/>
            <w:gridSpan w:val="2"/>
            <w:tcBorders>
              <w:top w:val="nil"/>
              <w:left w:val="single" w:color="000000" w:sz="8" w:space="0"/>
              <w:bottom w:val="single" w:color="000000" w:sz="8" w:space="0"/>
              <w:right w:val="single" w:color="000000" w:sz="8" w:space="0"/>
            </w:tcBorders>
            <w:noWrap w:val="0"/>
            <w:vAlign w:val="center"/>
          </w:tcPr>
          <w:p w14:paraId="125ABF38">
            <w:pPr>
              <w:jc w:val="center"/>
              <w:rPr>
                <w:rFonts w:hint="eastAsia" w:ascii="Arial Narrow" w:hAnsi="Arial Narrow" w:eastAsia="仿宋_GB2312" w:cs="黑体"/>
                <w:b/>
                <w:bCs/>
                <w:i w:val="0"/>
                <w:iCs w:val="0"/>
                <w:color w:val="000000"/>
                <w:sz w:val="21"/>
                <w:szCs w:val="22"/>
                <w:u w:val="none"/>
              </w:rPr>
            </w:pPr>
          </w:p>
        </w:tc>
        <w:tc>
          <w:tcPr>
            <w:tcW w:w="1666" w:type="pct"/>
            <w:tcBorders>
              <w:top w:val="nil"/>
              <w:left w:val="nil"/>
              <w:bottom w:val="single" w:color="000000" w:sz="8" w:space="0"/>
              <w:right w:val="single" w:color="000000" w:sz="8" w:space="0"/>
            </w:tcBorders>
            <w:noWrap w:val="0"/>
            <w:vAlign w:val="center"/>
          </w:tcPr>
          <w:p w14:paraId="604CE967">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2026年6月30日</w:t>
            </w:r>
          </w:p>
        </w:tc>
      </w:tr>
      <w:tr w14:paraId="750A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2BEDCD3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w:t>
            </w:r>
          </w:p>
        </w:tc>
        <w:tc>
          <w:tcPr>
            <w:tcW w:w="1667" w:type="pct"/>
            <w:tcBorders>
              <w:top w:val="nil"/>
              <w:left w:val="nil"/>
              <w:bottom w:val="single" w:color="000000" w:sz="8" w:space="0"/>
              <w:right w:val="single" w:color="000000" w:sz="8" w:space="0"/>
            </w:tcBorders>
            <w:noWrap w:val="0"/>
            <w:vAlign w:val="center"/>
          </w:tcPr>
          <w:p w14:paraId="001A1A3D">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并表总资产</w:t>
            </w:r>
          </w:p>
        </w:tc>
        <w:tc>
          <w:tcPr>
            <w:tcW w:w="1666" w:type="pct"/>
            <w:tcBorders>
              <w:top w:val="single" w:color="000000" w:sz="8" w:space="0"/>
              <w:left w:val="nil"/>
              <w:bottom w:val="single" w:color="000000" w:sz="8" w:space="0"/>
              <w:right w:val="single" w:color="000000" w:sz="8" w:space="0"/>
            </w:tcBorders>
            <w:noWrap w:val="0"/>
            <w:vAlign w:val="center"/>
          </w:tcPr>
          <w:p w14:paraId="304986E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22,889,042.96 </w:t>
            </w:r>
          </w:p>
        </w:tc>
      </w:tr>
      <w:tr w14:paraId="4FA17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76060B1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w:t>
            </w:r>
          </w:p>
        </w:tc>
        <w:tc>
          <w:tcPr>
            <w:tcW w:w="1667" w:type="pct"/>
            <w:tcBorders>
              <w:top w:val="nil"/>
              <w:left w:val="nil"/>
              <w:bottom w:val="single" w:color="000000" w:sz="8" w:space="0"/>
              <w:right w:val="single" w:color="000000" w:sz="8" w:space="0"/>
            </w:tcBorders>
            <w:noWrap w:val="0"/>
            <w:vAlign w:val="center"/>
          </w:tcPr>
          <w:p w14:paraId="30370BC7">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并表调整项</w:t>
            </w:r>
          </w:p>
        </w:tc>
        <w:tc>
          <w:tcPr>
            <w:tcW w:w="1666" w:type="pct"/>
            <w:tcBorders>
              <w:top w:val="nil"/>
              <w:left w:val="nil"/>
              <w:bottom w:val="single" w:color="000000" w:sz="8" w:space="0"/>
              <w:right w:val="single" w:color="000000" w:sz="8" w:space="0"/>
            </w:tcBorders>
            <w:noWrap w:val="0"/>
            <w:vAlign w:val="center"/>
          </w:tcPr>
          <w:p w14:paraId="23B3AEC3">
            <w:pPr>
              <w:jc w:val="center"/>
              <w:rPr>
                <w:rFonts w:hint="eastAsia" w:ascii="Arial Narrow" w:hAnsi="Arial Narrow" w:eastAsia="仿宋_GB2312" w:cs="黑体"/>
                <w:i w:val="0"/>
                <w:iCs w:val="0"/>
                <w:color w:val="000000"/>
                <w:sz w:val="21"/>
                <w:szCs w:val="22"/>
                <w:u w:val="none"/>
              </w:rPr>
            </w:pPr>
          </w:p>
        </w:tc>
      </w:tr>
      <w:tr w14:paraId="28F01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0C8C75A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3</w:t>
            </w:r>
          </w:p>
        </w:tc>
        <w:tc>
          <w:tcPr>
            <w:tcW w:w="1667" w:type="pct"/>
            <w:tcBorders>
              <w:top w:val="nil"/>
              <w:left w:val="nil"/>
              <w:bottom w:val="single" w:color="000000" w:sz="8" w:space="0"/>
              <w:right w:val="single" w:color="000000" w:sz="8" w:space="0"/>
            </w:tcBorders>
            <w:noWrap w:val="0"/>
            <w:vAlign w:val="center"/>
          </w:tcPr>
          <w:p w14:paraId="0259394D">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客户资产调整项</w:t>
            </w:r>
          </w:p>
        </w:tc>
        <w:tc>
          <w:tcPr>
            <w:tcW w:w="1666" w:type="pct"/>
            <w:tcBorders>
              <w:top w:val="nil"/>
              <w:left w:val="nil"/>
              <w:bottom w:val="single" w:color="000000" w:sz="8" w:space="0"/>
              <w:right w:val="single" w:color="000000" w:sz="8" w:space="0"/>
            </w:tcBorders>
            <w:noWrap w:val="0"/>
            <w:vAlign w:val="center"/>
          </w:tcPr>
          <w:p w14:paraId="59C995A6">
            <w:pPr>
              <w:jc w:val="center"/>
              <w:rPr>
                <w:rFonts w:hint="eastAsia" w:ascii="Arial Narrow" w:hAnsi="Arial Narrow" w:eastAsia="仿宋_GB2312" w:cs="黑体"/>
                <w:i w:val="0"/>
                <w:iCs w:val="0"/>
                <w:color w:val="000000"/>
                <w:sz w:val="21"/>
                <w:szCs w:val="22"/>
                <w:u w:val="none"/>
              </w:rPr>
            </w:pPr>
          </w:p>
        </w:tc>
      </w:tr>
      <w:tr w14:paraId="11B1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19DB18B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4</w:t>
            </w:r>
          </w:p>
        </w:tc>
        <w:tc>
          <w:tcPr>
            <w:tcW w:w="1667" w:type="pct"/>
            <w:tcBorders>
              <w:top w:val="nil"/>
              <w:left w:val="nil"/>
              <w:bottom w:val="single" w:color="000000" w:sz="8" w:space="0"/>
              <w:right w:val="single" w:color="000000" w:sz="8" w:space="0"/>
            </w:tcBorders>
            <w:noWrap w:val="0"/>
            <w:vAlign w:val="center"/>
          </w:tcPr>
          <w:p w14:paraId="6AC0AF46">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衍生工具调整项</w:t>
            </w:r>
          </w:p>
        </w:tc>
        <w:tc>
          <w:tcPr>
            <w:tcW w:w="1666" w:type="pct"/>
            <w:tcBorders>
              <w:top w:val="nil"/>
              <w:left w:val="nil"/>
              <w:bottom w:val="single" w:color="000000" w:sz="8" w:space="0"/>
              <w:right w:val="single" w:color="000000" w:sz="8" w:space="0"/>
            </w:tcBorders>
            <w:noWrap w:val="0"/>
            <w:vAlign w:val="center"/>
          </w:tcPr>
          <w:p w14:paraId="424AD041">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-3,011.24 </w:t>
            </w:r>
          </w:p>
        </w:tc>
      </w:tr>
      <w:tr w14:paraId="16B0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7D75447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5</w:t>
            </w:r>
          </w:p>
        </w:tc>
        <w:tc>
          <w:tcPr>
            <w:tcW w:w="1667" w:type="pct"/>
            <w:tcBorders>
              <w:top w:val="nil"/>
              <w:left w:val="nil"/>
              <w:bottom w:val="single" w:color="000000" w:sz="8" w:space="0"/>
              <w:right w:val="single" w:color="000000" w:sz="8" w:space="0"/>
            </w:tcBorders>
            <w:noWrap w:val="0"/>
            <w:vAlign w:val="center"/>
          </w:tcPr>
          <w:p w14:paraId="45F516EC">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证券融资交易调整项</w:t>
            </w:r>
          </w:p>
        </w:tc>
        <w:tc>
          <w:tcPr>
            <w:tcW w:w="1666" w:type="pct"/>
            <w:tcBorders>
              <w:top w:val="nil"/>
              <w:left w:val="nil"/>
              <w:bottom w:val="single" w:color="000000" w:sz="8" w:space="0"/>
              <w:right w:val="single" w:color="000000" w:sz="8" w:space="0"/>
            </w:tcBorders>
            <w:noWrap w:val="0"/>
            <w:vAlign w:val="center"/>
          </w:tcPr>
          <w:p w14:paraId="463D37A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92,224.28 </w:t>
            </w:r>
          </w:p>
        </w:tc>
      </w:tr>
      <w:tr w14:paraId="7F9C9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65D9CF6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6</w:t>
            </w:r>
          </w:p>
        </w:tc>
        <w:tc>
          <w:tcPr>
            <w:tcW w:w="1667" w:type="pct"/>
            <w:tcBorders>
              <w:top w:val="nil"/>
              <w:left w:val="nil"/>
              <w:bottom w:val="single" w:color="000000" w:sz="8" w:space="0"/>
              <w:right w:val="single" w:color="000000" w:sz="8" w:space="0"/>
            </w:tcBorders>
            <w:noWrap w:val="0"/>
            <w:vAlign w:val="center"/>
          </w:tcPr>
          <w:p w14:paraId="6CCEDD71">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表外项目调整项</w:t>
            </w:r>
          </w:p>
        </w:tc>
        <w:tc>
          <w:tcPr>
            <w:tcW w:w="1666" w:type="pct"/>
            <w:tcBorders>
              <w:top w:val="nil"/>
              <w:left w:val="nil"/>
              <w:bottom w:val="single" w:color="000000" w:sz="8" w:space="0"/>
              <w:right w:val="single" w:color="000000" w:sz="8" w:space="0"/>
            </w:tcBorders>
            <w:noWrap w:val="0"/>
            <w:vAlign w:val="center"/>
          </w:tcPr>
          <w:p w14:paraId="65D24077">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3,342,630.10 </w:t>
            </w:r>
          </w:p>
        </w:tc>
      </w:tr>
      <w:tr w14:paraId="251AF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746D686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7</w:t>
            </w:r>
          </w:p>
        </w:tc>
        <w:tc>
          <w:tcPr>
            <w:tcW w:w="1667" w:type="pct"/>
            <w:tcBorders>
              <w:top w:val="nil"/>
              <w:left w:val="nil"/>
              <w:bottom w:val="single" w:color="000000" w:sz="8" w:space="0"/>
              <w:right w:val="single" w:color="000000" w:sz="8" w:space="0"/>
            </w:tcBorders>
            <w:noWrap w:val="0"/>
            <w:vAlign w:val="center"/>
          </w:tcPr>
          <w:p w14:paraId="7B74B6C8">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资产证券化交易调整项</w:t>
            </w:r>
          </w:p>
        </w:tc>
        <w:tc>
          <w:tcPr>
            <w:tcW w:w="1666" w:type="pct"/>
            <w:tcBorders>
              <w:top w:val="nil"/>
              <w:left w:val="nil"/>
              <w:bottom w:val="single" w:color="000000" w:sz="8" w:space="0"/>
              <w:right w:val="single" w:color="000000" w:sz="8" w:space="0"/>
            </w:tcBorders>
            <w:noWrap w:val="0"/>
            <w:vAlign w:val="center"/>
          </w:tcPr>
          <w:p w14:paraId="1629720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   </w:t>
            </w:r>
          </w:p>
        </w:tc>
      </w:tr>
      <w:tr w14:paraId="7A44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2E79F62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8</w:t>
            </w:r>
          </w:p>
        </w:tc>
        <w:tc>
          <w:tcPr>
            <w:tcW w:w="1667" w:type="pct"/>
            <w:tcBorders>
              <w:top w:val="nil"/>
              <w:left w:val="nil"/>
              <w:bottom w:val="single" w:color="000000" w:sz="8" w:space="0"/>
              <w:right w:val="single" w:color="000000" w:sz="8" w:space="0"/>
            </w:tcBorders>
            <w:noWrap w:val="0"/>
            <w:vAlign w:val="center"/>
          </w:tcPr>
          <w:p w14:paraId="1E99DF38">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未结算金融资产调整项</w:t>
            </w:r>
          </w:p>
        </w:tc>
        <w:tc>
          <w:tcPr>
            <w:tcW w:w="1666" w:type="pct"/>
            <w:tcBorders>
              <w:top w:val="nil"/>
              <w:left w:val="nil"/>
              <w:bottom w:val="single" w:color="000000" w:sz="8" w:space="0"/>
              <w:right w:val="single" w:color="000000" w:sz="8" w:space="0"/>
            </w:tcBorders>
            <w:noWrap w:val="0"/>
            <w:vAlign w:val="center"/>
          </w:tcPr>
          <w:p w14:paraId="20EB299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   </w:t>
            </w:r>
          </w:p>
        </w:tc>
      </w:tr>
      <w:tr w14:paraId="631D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7A2ED5D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9</w:t>
            </w:r>
          </w:p>
        </w:tc>
        <w:tc>
          <w:tcPr>
            <w:tcW w:w="1667" w:type="pct"/>
            <w:tcBorders>
              <w:top w:val="nil"/>
              <w:left w:val="nil"/>
              <w:bottom w:val="single" w:color="000000" w:sz="8" w:space="0"/>
              <w:right w:val="single" w:color="000000" w:sz="8" w:space="0"/>
            </w:tcBorders>
            <w:noWrap w:val="0"/>
            <w:vAlign w:val="center"/>
          </w:tcPr>
          <w:p w14:paraId="38FCCECF">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现金池调整项</w:t>
            </w:r>
          </w:p>
        </w:tc>
        <w:tc>
          <w:tcPr>
            <w:tcW w:w="1666" w:type="pct"/>
            <w:tcBorders>
              <w:top w:val="nil"/>
              <w:left w:val="nil"/>
              <w:bottom w:val="single" w:color="000000" w:sz="8" w:space="0"/>
              <w:right w:val="single" w:color="000000" w:sz="8" w:space="0"/>
            </w:tcBorders>
            <w:noWrap w:val="0"/>
            <w:vAlign w:val="center"/>
          </w:tcPr>
          <w:p w14:paraId="186AED2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   </w:t>
            </w:r>
          </w:p>
        </w:tc>
      </w:tr>
      <w:tr w14:paraId="6A3E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21D049D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10</w:t>
            </w:r>
          </w:p>
        </w:tc>
        <w:tc>
          <w:tcPr>
            <w:tcW w:w="1667" w:type="pct"/>
            <w:tcBorders>
              <w:top w:val="nil"/>
              <w:left w:val="nil"/>
              <w:bottom w:val="single" w:color="000000" w:sz="8" w:space="0"/>
              <w:right w:val="single" w:color="000000" w:sz="8" w:space="0"/>
            </w:tcBorders>
            <w:noWrap w:val="0"/>
            <w:vAlign w:val="center"/>
          </w:tcPr>
          <w:p w14:paraId="57ABB2C4">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存款准备金调整项（如有）</w:t>
            </w:r>
          </w:p>
        </w:tc>
        <w:tc>
          <w:tcPr>
            <w:tcW w:w="1666" w:type="pct"/>
            <w:tcBorders>
              <w:top w:val="nil"/>
              <w:left w:val="nil"/>
              <w:bottom w:val="single" w:color="000000" w:sz="8" w:space="0"/>
              <w:right w:val="single" w:color="000000" w:sz="8" w:space="0"/>
            </w:tcBorders>
            <w:noWrap w:val="0"/>
            <w:vAlign w:val="center"/>
          </w:tcPr>
          <w:p w14:paraId="0ED0EA2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   </w:t>
            </w:r>
          </w:p>
        </w:tc>
      </w:tr>
      <w:tr w14:paraId="09DC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7FFBE24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11</w:t>
            </w:r>
          </w:p>
        </w:tc>
        <w:tc>
          <w:tcPr>
            <w:tcW w:w="1667" w:type="pct"/>
            <w:tcBorders>
              <w:top w:val="nil"/>
              <w:left w:val="nil"/>
              <w:bottom w:val="single" w:color="000000" w:sz="8" w:space="0"/>
              <w:right w:val="single" w:color="000000" w:sz="8" w:space="0"/>
            </w:tcBorders>
            <w:noWrap w:val="0"/>
            <w:vAlign w:val="center"/>
          </w:tcPr>
          <w:p w14:paraId="71A88C84">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审慎估值和减值准备调整项</w:t>
            </w:r>
          </w:p>
        </w:tc>
        <w:tc>
          <w:tcPr>
            <w:tcW w:w="1666" w:type="pct"/>
            <w:tcBorders>
              <w:top w:val="nil"/>
              <w:left w:val="nil"/>
              <w:bottom w:val="single" w:color="000000" w:sz="8" w:space="0"/>
              <w:right w:val="single" w:color="000000" w:sz="8" w:space="0"/>
            </w:tcBorders>
            <w:noWrap w:val="0"/>
            <w:vAlign w:val="center"/>
          </w:tcPr>
          <w:p w14:paraId="65BA69A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   </w:t>
            </w:r>
          </w:p>
        </w:tc>
      </w:tr>
      <w:tr w14:paraId="459C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39B61315">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12</w:t>
            </w:r>
          </w:p>
        </w:tc>
        <w:tc>
          <w:tcPr>
            <w:tcW w:w="1667" w:type="pct"/>
            <w:tcBorders>
              <w:top w:val="nil"/>
              <w:left w:val="nil"/>
              <w:bottom w:val="single" w:color="000000" w:sz="8" w:space="0"/>
              <w:right w:val="single" w:color="000000" w:sz="8" w:space="0"/>
            </w:tcBorders>
            <w:noWrap w:val="0"/>
            <w:vAlign w:val="center"/>
          </w:tcPr>
          <w:p w14:paraId="1AC5C2FE">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其他调整项</w:t>
            </w:r>
          </w:p>
        </w:tc>
        <w:tc>
          <w:tcPr>
            <w:tcW w:w="1666" w:type="pct"/>
            <w:tcBorders>
              <w:top w:val="nil"/>
              <w:left w:val="nil"/>
              <w:bottom w:val="single" w:color="000000" w:sz="8" w:space="0"/>
              <w:right w:val="single" w:color="000000" w:sz="8" w:space="0"/>
            </w:tcBorders>
            <w:noWrap w:val="0"/>
            <w:vAlign w:val="center"/>
          </w:tcPr>
          <w:p w14:paraId="6E4A099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-16,781.55 </w:t>
            </w:r>
          </w:p>
        </w:tc>
      </w:tr>
      <w:tr w14:paraId="50B95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66" w:type="pct"/>
            <w:tcBorders>
              <w:top w:val="nil"/>
              <w:left w:val="single" w:color="000000" w:sz="8" w:space="0"/>
              <w:bottom w:val="single" w:color="000000" w:sz="8" w:space="0"/>
              <w:right w:val="single" w:color="000000" w:sz="8" w:space="0"/>
            </w:tcBorders>
            <w:noWrap w:val="0"/>
            <w:vAlign w:val="center"/>
          </w:tcPr>
          <w:p w14:paraId="61E7248A">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13</w:t>
            </w:r>
          </w:p>
        </w:tc>
        <w:tc>
          <w:tcPr>
            <w:tcW w:w="1667" w:type="pct"/>
            <w:tcBorders>
              <w:top w:val="nil"/>
              <w:left w:val="nil"/>
              <w:bottom w:val="single" w:color="000000" w:sz="8" w:space="0"/>
              <w:right w:val="single" w:color="000000" w:sz="8" w:space="0"/>
            </w:tcBorders>
            <w:noWrap w:val="0"/>
            <w:vAlign w:val="center"/>
          </w:tcPr>
          <w:p w14:paraId="301382C2">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调整后表内外资产余额</w:t>
            </w:r>
          </w:p>
        </w:tc>
        <w:tc>
          <w:tcPr>
            <w:tcW w:w="1666" w:type="pct"/>
            <w:tcBorders>
              <w:top w:val="nil"/>
              <w:left w:val="nil"/>
              <w:bottom w:val="single" w:color="000000" w:sz="8" w:space="0"/>
              <w:right w:val="single" w:color="000000" w:sz="8" w:space="0"/>
            </w:tcBorders>
            <w:noWrap w:val="0"/>
            <w:vAlign w:val="center"/>
          </w:tcPr>
          <w:p w14:paraId="051D28B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 xml:space="preserve"> 26,304,104.55 </w:t>
            </w:r>
          </w:p>
        </w:tc>
      </w:tr>
    </w:tbl>
    <w:p w14:paraId="6B79654A">
      <w:pPr>
        <w:pStyle w:val="6"/>
        <w:spacing w:before="36"/>
        <w:ind w:right="110"/>
        <w:rPr>
          <w:sz w:val="22"/>
          <w:szCs w:val="22"/>
        </w:rPr>
      </w:pPr>
    </w:p>
    <w:p w14:paraId="21AF2AC5">
      <w:pPr>
        <w:pStyle w:val="21"/>
        <w:bidi w:val="0"/>
      </w:pPr>
      <w:r>
        <w:rPr>
          <w:rFonts w:hint="eastAsia"/>
          <w:lang w:val="en-US" w:eastAsia="zh-CN"/>
        </w:rPr>
        <w:t>4</w:t>
      </w:r>
      <w:r>
        <w:t xml:space="preserve">.2 杠杆率 </w:t>
      </w:r>
    </w:p>
    <w:p w14:paraId="33983AE3">
      <w:pPr>
        <w:pStyle w:val="17"/>
        <w:bidi w:val="0"/>
      </w:pPr>
      <w:r>
        <w:t>下表列示本行杠杆率分母的组成明细以及实际杠杆率、最低杠杆率要求和附加杠杆率要求等相关信息。</w:t>
      </w:r>
    </w:p>
    <w:p w14:paraId="4A36DDB4">
      <w:pPr>
        <w:pStyle w:val="17"/>
        <w:bidi w:val="0"/>
        <w:ind w:left="0" w:leftChars="0" w:firstLine="0" w:firstLineChars="0"/>
        <w:jc w:val="center"/>
        <w:rPr>
          <w:b/>
          <w:bCs/>
        </w:rPr>
      </w:pPr>
      <w:r>
        <w:rPr>
          <w:rFonts w:hint="eastAsia"/>
          <w:b/>
          <w:bCs/>
        </w:rPr>
        <w:t>表格 LR2：杠杆率</w:t>
      </w:r>
    </w:p>
    <w:p w14:paraId="3650CB64">
      <w:pPr>
        <w:pStyle w:val="17"/>
        <w:bidi w:val="0"/>
        <w:ind w:left="0" w:leftChars="0" w:firstLine="0" w:firstLineChars="0"/>
        <w:jc w:val="right"/>
        <w:rPr>
          <w:rFonts w:hint="eastAsia"/>
        </w:rPr>
      </w:pPr>
      <w:r>
        <w:rPr>
          <w:rFonts w:hint="eastAsia"/>
        </w:rPr>
        <w:t>单位：人民币万元</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2985"/>
        <w:gridCol w:w="2228"/>
        <w:gridCol w:w="2229"/>
      </w:tblGrid>
      <w:tr w14:paraId="023D3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65" w:type="dxa"/>
            <w:gridSpan w:val="2"/>
            <w:vMerge w:val="restart"/>
            <w:tcBorders>
              <w:top w:val="single" w:color="000000" w:sz="8" w:space="0"/>
              <w:left w:val="single" w:color="000000" w:sz="8" w:space="0"/>
              <w:bottom w:val="single" w:color="000000" w:sz="8" w:space="0"/>
              <w:right w:val="single" w:color="000000" w:sz="8" w:space="0"/>
            </w:tcBorders>
            <w:noWrap/>
            <w:vAlign w:val="center"/>
          </w:tcPr>
          <w:p w14:paraId="0ACCEA5F">
            <w:pPr>
              <w:rPr>
                <w:rFonts w:hint="eastAsia" w:ascii="Arial Narrow" w:hAnsi="Arial Narrow" w:eastAsia="仿宋_GB2312" w:cs="宋体"/>
                <w:b/>
                <w:bCs/>
                <w:i w:val="0"/>
                <w:iCs w:val="0"/>
                <w:color w:val="000000"/>
                <w:sz w:val="21"/>
                <w:szCs w:val="22"/>
                <w:u w:val="none"/>
              </w:rPr>
            </w:pPr>
          </w:p>
        </w:tc>
        <w:tc>
          <w:tcPr>
            <w:tcW w:w="2640" w:type="dxa"/>
            <w:tcBorders>
              <w:top w:val="single" w:color="000000" w:sz="8" w:space="0"/>
              <w:left w:val="nil"/>
              <w:bottom w:val="single" w:color="000000" w:sz="8" w:space="0"/>
              <w:right w:val="single" w:color="000000" w:sz="8" w:space="0"/>
            </w:tcBorders>
            <w:noWrap w:val="0"/>
            <w:vAlign w:val="top"/>
          </w:tcPr>
          <w:p w14:paraId="2C850B69">
            <w:pPr>
              <w:keepNext w:val="0"/>
              <w:keepLines w:val="0"/>
              <w:widowControl/>
              <w:suppressLineNumbers w:val="0"/>
              <w:jc w:val="center"/>
              <w:textAlignment w:val="top"/>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a</w:t>
            </w:r>
          </w:p>
        </w:tc>
        <w:tc>
          <w:tcPr>
            <w:tcW w:w="2640" w:type="dxa"/>
            <w:tcBorders>
              <w:top w:val="single" w:color="000000" w:sz="8" w:space="0"/>
              <w:left w:val="nil"/>
              <w:bottom w:val="single" w:color="000000" w:sz="8" w:space="0"/>
              <w:right w:val="single" w:color="000000" w:sz="8" w:space="0"/>
            </w:tcBorders>
            <w:noWrap w:val="0"/>
            <w:vAlign w:val="top"/>
          </w:tcPr>
          <w:p w14:paraId="236C527B">
            <w:pPr>
              <w:keepNext w:val="0"/>
              <w:keepLines w:val="0"/>
              <w:widowControl/>
              <w:suppressLineNumbers w:val="0"/>
              <w:jc w:val="center"/>
              <w:textAlignment w:val="top"/>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b</w:t>
            </w:r>
          </w:p>
        </w:tc>
      </w:tr>
      <w:tr w14:paraId="40EB5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065"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11000DC">
            <w:pPr>
              <w:rPr>
                <w:rFonts w:hint="eastAsia" w:ascii="Arial Narrow" w:hAnsi="Arial Narrow" w:eastAsia="仿宋_GB2312" w:cs="宋体"/>
                <w:b/>
                <w:bCs/>
                <w:i w:val="0"/>
                <w:iCs w:val="0"/>
                <w:color w:val="000000"/>
                <w:sz w:val="21"/>
                <w:szCs w:val="22"/>
                <w:u w:val="none"/>
              </w:rPr>
            </w:pPr>
          </w:p>
        </w:tc>
        <w:tc>
          <w:tcPr>
            <w:tcW w:w="2640" w:type="dxa"/>
            <w:tcBorders>
              <w:top w:val="nil"/>
              <w:left w:val="nil"/>
              <w:bottom w:val="single" w:color="000000" w:sz="8" w:space="0"/>
              <w:right w:val="single" w:color="000000" w:sz="8" w:space="0"/>
            </w:tcBorders>
            <w:noWrap w:val="0"/>
            <w:vAlign w:val="center"/>
          </w:tcPr>
          <w:p w14:paraId="2C287B25">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2026年6月30日</w:t>
            </w:r>
          </w:p>
        </w:tc>
        <w:tc>
          <w:tcPr>
            <w:tcW w:w="2640" w:type="dxa"/>
            <w:tcBorders>
              <w:top w:val="nil"/>
              <w:left w:val="nil"/>
              <w:bottom w:val="single" w:color="000000" w:sz="8" w:space="0"/>
              <w:right w:val="single" w:color="000000" w:sz="8" w:space="0"/>
            </w:tcBorders>
            <w:noWrap w:val="0"/>
            <w:vAlign w:val="center"/>
          </w:tcPr>
          <w:p w14:paraId="14954193">
            <w:pPr>
              <w:keepNext w:val="0"/>
              <w:keepLines w:val="0"/>
              <w:widowControl/>
              <w:suppressLineNumbers w:val="0"/>
              <w:jc w:val="center"/>
              <w:textAlignment w:val="center"/>
              <w:rPr>
                <w:rFonts w:hint="default" w:ascii="Arial Narrow" w:hAnsi="Arial Narrow" w:eastAsia="仿宋_GB2312" w:cs="Times New Roman"/>
                <w:b/>
                <w:bCs/>
                <w:i w:val="0"/>
                <w:iCs w:val="0"/>
                <w:color w:val="000000"/>
                <w:sz w:val="21"/>
                <w:szCs w:val="22"/>
                <w:u w:val="none"/>
              </w:rPr>
            </w:pPr>
            <w:r>
              <w:rPr>
                <w:rFonts w:hint="default" w:ascii="Arial Narrow" w:hAnsi="Arial Narrow" w:eastAsia="仿宋_GB2312" w:cs="Times New Roman"/>
                <w:b/>
                <w:bCs/>
                <w:i w:val="0"/>
                <w:iCs w:val="0"/>
                <w:color w:val="000000"/>
                <w:kern w:val="0"/>
                <w:sz w:val="21"/>
                <w:szCs w:val="22"/>
                <w:u w:val="none"/>
                <w:lang w:val="en-US" w:eastAsia="zh-CN" w:bidi="ar"/>
              </w:rPr>
              <w:t>2026年3月31日</w:t>
            </w:r>
          </w:p>
        </w:tc>
      </w:tr>
      <w:tr w14:paraId="12B3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2C464850">
            <w:pPr>
              <w:keepNext w:val="0"/>
              <w:keepLines w:val="0"/>
              <w:widowControl/>
              <w:suppressLineNumbers w:val="0"/>
              <w:jc w:val="center"/>
              <w:textAlignment w:val="center"/>
              <w:rPr>
                <w:rFonts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表内资产余额</w:t>
            </w:r>
          </w:p>
        </w:tc>
      </w:tr>
      <w:tr w14:paraId="79C1A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654568D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w:t>
            </w:r>
          </w:p>
        </w:tc>
        <w:tc>
          <w:tcPr>
            <w:tcW w:w="2985" w:type="dxa"/>
            <w:tcBorders>
              <w:top w:val="single" w:color="000000" w:sz="8" w:space="0"/>
              <w:left w:val="nil"/>
              <w:bottom w:val="single" w:color="000000" w:sz="8" w:space="0"/>
              <w:right w:val="single" w:color="000000" w:sz="8" w:space="0"/>
            </w:tcBorders>
            <w:noWrap w:val="0"/>
            <w:vAlign w:val="center"/>
          </w:tcPr>
          <w:p w14:paraId="6223784D">
            <w:pPr>
              <w:keepNext w:val="0"/>
              <w:keepLines w:val="0"/>
              <w:widowControl/>
              <w:suppressLineNumbers w:val="0"/>
              <w:jc w:val="both"/>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表内资产（除衍生工具和证券融资交易外）</w:t>
            </w:r>
          </w:p>
        </w:tc>
        <w:tc>
          <w:tcPr>
            <w:tcW w:w="2640" w:type="dxa"/>
            <w:tcBorders>
              <w:top w:val="single" w:color="000000" w:sz="8" w:space="0"/>
              <w:left w:val="nil"/>
              <w:bottom w:val="single" w:color="000000" w:sz="8" w:space="0"/>
              <w:right w:val="single" w:color="000000" w:sz="8" w:space="0"/>
            </w:tcBorders>
            <w:noWrap w:val="0"/>
            <w:vAlign w:val="center"/>
          </w:tcPr>
          <w:p w14:paraId="0460494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23,298,091.96 </w:t>
            </w:r>
          </w:p>
        </w:tc>
        <w:tc>
          <w:tcPr>
            <w:tcW w:w="2640" w:type="dxa"/>
            <w:tcBorders>
              <w:top w:val="single" w:color="000000" w:sz="8" w:space="0"/>
              <w:left w:val="nil"/>
              <w:bottom w:val="single" w:color="000000" w:sz="8" w:space="0"/>
              <w:right w:val="single" w:color="000000" w:sz="8" w:space="0"/>
            </w:tcBorders>
            <w:noWrap w:val="0"/>
            <w:vAlign w:val="center"/>
          </w:tcPr>
          <w:p w14:paraId="5B953523">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22,628,136.71 </w:t>
            </w:r>
          </w:p>
        </w:tc>
      </w:tr>
      <w:tr w14:paraId="6A2AF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4B35776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w:t>
            </w:r>
          </w:p>
        </w:tc>
        <w:tc>
          <w:tcPr>
            <w:tcW w:w="2985" w:type="dxa"/>
            <w:tcBorders>
              <w:top w:val="nil"/>
              <w:left w:val="nil"/>
              <w:bottom w:val="single" w:color="000000" w:sz="8" w:space="0"/>
              <w:right w:val="single" w:color="000000" w:sz="8" w:space="0"/>
            </w:tcBorders>
            <w:noWrap w:val="0"/>
            <w:vAlign w:val="center"/>
          </w:tcPr>
          <w:p w14:paraId="70B3CFDE">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减：减值准备</w:t>
            </w:r>
          </w:p>
        </w:tc>
        <w:tc>
          <w:tcPr>
            <w:tcW w:w="2640" w:type="dxa"/>
            <w:tcBorders>
              <w:top w:val="nil"/>
              <w:left w:val="nil"/>
              <w:bottom w:val="single" w:color="000000" w:sz="8" w:space="0"/>
              <w:right w:val="single" w:color="000000" w:sz="8" w:space="0"/>
            </w:tcBorders>
            <w:noWrap w:val="0"/>
            <w:vAlign w:val="center"/>
          </w:tcPr>
          <w:p w14:paraId="51555B3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-409,509.97 </w:t>
            </w:r>
          </w:p>
        </w:tc>
        <w:tc>
          <w:tcPr>
            <w:tcW w:w="2640" w:type="dxa"/>
            <w:tcBorders>
              <w:top w:val="nil"/>
              <w:left w:val="nil"/>
              <w:bottom w:val="single" w:color="000000" w:sz="8" w:space="0"/>
              <w:right w:val="single" w:color="000000" w:sz="8" w:space="0"/>
            </w:tcBorders>
            <w:noWrap w:val="0"/>
            <w:vAlign w:val="center"/>
          </w:tcPr>
          <w:p w14:paraId="45FD7A0E">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-392,527.54 </w:t>
            </w:r>
          </w:p>
        </w:tc>
      </w:tr>
      <w:tr w14:paraId="3547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7DE12A2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3</w:t>
            </w:r>
          </w:p>
        </w:tc>
        <w:tc>
          <w:tcPr>
            <w:tcW w:w="2985" w:type="dxa"/>
            <w:tcBorders>
              <w:top w:val="nil"/>
              <w:left w:val="nil"/>
              <w:bottom w:val="single" w:color="000000" w:sz="8" w:space="0"/>
              <w:right w:val="single" w:color="000000" w:sz="8" w:space="0"/>
            </w:tcBorders>
            <w:noWrap w:val="0"/>
            <w:vAlign w:val="center"/>
          </w:tcPr>
          <w:p w14:paraId="23E0D429">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减：一级资本扣减项</w:t>
            </w:r>
          </w:p>
        </w:tc>
        <w:tc>
          <w:tcPr>
            <w:tcW w:w="2640" w:type="dxa"/>
            <w:tcBorders>
              <w:top w:val="nil"/>
              <w:left w:val="nil"/>
              <w:bottom w:val="single" w:color="000000" w:sz="8" w:space="0"/>
              <w:right w:val="single" w:color="000000" w:sz="8" w:space="0"/>
            </w:tcBorders>
            <w:noWrap w:val="0"/>
            <w:vAlign w:val="center"/>
          </w:tcPr>
          <w:p w14:paraId="7296F47B">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-16,320.58 </w:t>
            </w:r>
          </w:p>
        </w:tc>
        <w:tc>
          <w:tcPr>
            <w:tcW w:w="2640" w:type="dxa"/>
            <w:tcBorders>
              <w:top w:val="nil"/>
              <w:left w:val="nil"/>
              <w:bottom w:val="single" w:color="000000" w:sz="8" w:space="0"/>
              <w:right w:val="single" w:color="000000" w:sz="8" w:space="0"/>
            </w:tcBorders>
            <w:noWrap w:val="0"/>
            <w:vAlign w:val="center"/>
          </w:tcPr>
          <w:p w14:paraId="18A9D1B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-17,138.92 </w:t>
            </w:r>
          </w:p>
        </w:tc>
      </w:tr>
      <w:tr w14:paraId="3C42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1EA1662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4</w:t>
            </w:r>
          </w:p>
        </w:tc>
        <w:tc>
          <w:tcPr>
            <w:tcW w:w="2985" w:type="dxa"/>
            <w:tcBorders>
              <w:top w:val="nil"/>
              <w:left w:val="nil"/>
              <w:bottom w:val="single" w:color="000000" w:sz="8" w:space="0"/>
              <w:right w:val="single" w:color="000000" w:sz="8" w:space="0"/>
            </w:tcBorders>
            <w:noWrap w:val="0"/>
            <w:vAlign w:val="center"/>
          </w:tcPr>
          <w:p w14:paraId="4D404BA5">
            <w:pPr>
              <w:keepNext w:val="0"/>
              <w:keepLines w:val="0"/>
              <w:widowControl/>
              <w:suppressLineNumbers w:val="0"/>
              <w:jc w:val="both"/>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调整后的表内资产余额（衍生工具和证券融资交易除外）</w:t>
            </w:r>
          </w:p>
        </w:tc>
        <w:tc>
          <w:tcPr>
            <w:tcW w:w="2640" w:type="dxa"/>
            <w:tcBorders>
              <w:top w:val="nil"/>
              <w:left w:val="nil"/>
              <w:bottom w:val="single" w:color="000000" w:sz="8" w:space="0"/>
              <w:right w:val="single" w:color="000000" w:sz="8" w:space="0"/>
            </w:tcBorders>
            <w:noWrap w:val="0"/>
            <w:vAlign w:val="center"/>
          </w:tcPr>
          <w:p w14:paraId="25D07743">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22,872,261.41 </w:t>
            </w:r>
          </w:p>
        </w:tc>
        <w:tc>
          <w:tcPr>
            <w:tcW w:w="2640" w:type="dxa"/>
            <w:tcBorders>
              <w:top w:val="nil"/>
              <w:left w:val="nil"/>
              <w:bottom w:val="single" w:color="000000" w:sz="8" w:space="0"/>
              <w:right w:val="single" w:color="000000" w:sz="8" w:space="0"/>
            </w:tcBorders>
            <w:noWrap w:val="0"/>
            <w:vAlign w:val="center"/>
          </w:tcPr>
          <w:p w14:paraId="1152712F">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22,218,470.25 </w:t>
            </w:r>
          </w:p>
        </w:tc>
      </w:tr>
      <w:tr w14:paraId="248B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3EBFBDA2">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衍生工具资产余额</w:t>
            </w:r>
          </w:p>
        </w:tc>
      </w:tr>
      <w:tr w14:paraId="7539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8455A0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5</w:t>
            </w:r>
          </w:p>
        </w:tc>
        <w:tc>
          <w:tcPr>
            <w:tcW w:w="2985" w:type="dxa"/>
            <w:tcBorders>
              <w:top w:val="single" w:color="000000" w:sz="8" w:space="0"/>
              <w:left w:val="nil"/>
              <w:bottom w:val="single" w:color="000000" w:sz="8" w:space="0"/>
              <w:right w:val="single" w:color="000000" w:sz="8" w:space="0"/>
            </w:tcBorders>
            <w:noWrap w:val="0"/>
            <w:vAlign w:val="center"/>
          </w:tcPr>
          <w:p w14:paraId="05537E9B">
            <w:pPr>
              <w:keepNext w:val="0"/>
              <w:keepLines w:val="0"/>
              <w:widowControl/>
              <w:suppressLineNumbers w:val="0"/>
              <w:jc w:val="both"/>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各类衍生工具的重置成本（扣除合格保证金，考虑双边净额结算协议的影响）</w:t>
            </w:r>
          </w:p>
        </w:tc>
        <w:tc>
          <w:tcPr>
            <w:tcW w:w="2640" w:type="dxa"/>
            <w:tcBorders>
              <w:top w:val="single" w:color="000000" w:sz="8" w:space="0"/>
              <w:left w:val="nil"/>
              <w:bottom w:val="single" w:color="000000" w:sz="8" w:space="0"/>
              <w:right w:val="single" w:color="000000" w:sz="8" w:space="0"/>
            </w:tcBorders>
            <w:noWrap w:val="0"/>
            <w:vAlign w:val="center"/>
          </w:tcPr>
          <w:p w14:paraId="6C9777E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1,421.34 </w:t>
            </w:r>
          </w:p>
        </w:tc>
        <w:tc>
          <w:tcPr>
            <w:tcW w:w="2640" w:type="dxa"/>
            <w:tcBorders>
              <w:top w:val="single" w:color="000000" w:sz="8" w:space="0"/>
              <w:left w:val="nil"/>
              <w:bottom w:val="single" w:color="000000" w:sz="8" w:space="0"/>
              <w:right w:val="single" w:color="000000" w:sz="8" w:space="0"/>
            </w:tcBorders>
            <w:noWrap w:val="0"/>
            <w:vAlign w:val="center"/>
          </w:tcPr>
          <w:p w14:paraId="03FCEB6D">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2,816.02 </w:t>
            </w:r>
          </w:p>
        </w:tc>
      </w:tr>
      <w:tr w14:paraId="06EC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0451DC00">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6</w:t>
            </w:r>
          </w:p>
        </w:tc>
        <w:tc>
          <w:tcPr>
            <w:tcW w:w="2985" w:type="dxa"/>
            <w:tcBorders>
              <w:top w:val="nil"/>
              <w:left w:val="nil"/>
              <w:bottom w:val="single" w:color="000000" w:sz="8" w:space="0"/>
              <w:right w:val="single" w:color="000000" w:sz="8" w:space="0"/>
            </w:tcBorders>
            <w:noWrap w:val="0"/>
            <w:vAlign w:val="center"/>
          </w:tcPr>
          <w:p w14:paraId="7A97180A">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各类衍生工具的潜在风险暴露</w:t>
            </w:r>
          </w:p>
        </w:tc>
        <w:tc>
          <w:tcPr>
            <w:tcW w:w="2640" w:type="dxa"/>
            <w:tcBorders>
              <w:top w:val="nil"/>
              <w:left w:val="nil"/>
              <w:bottom w:val="single" w:color="000000" w:sz="8" w:space="0"/>
              <w:right w:val="single" w:color="000000" w:sz="8" w:space="0"/>
            </w:tcBorders>
            <w:noWrap w:val="0"/>
            <w:vAlign w:val="center"/>
          </w:tcPr>
          <w:p w14:paraId="21BEF1E0">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1,876.78 </w:t>
            </w:r>
          </w:p>
        </w:tc>
        <w:tc>
          <w:tcPr>
            <w:tcW w:w="2640" w:type="dxa"/>
            <w:tcBorders>
              <w:top w:val="nil"/>
              <w:left w:val="nil"/>
              <w:bottom w:val="single" w:color="000000" w:sz="8" w:space="0"/>
              <w:right w:val="single" w:color="000000" w:sz="8" w:space="0"/>
            </w:tcBorders>
            <w:noWrap w:val="0"/>
            <w:vAlign w:val="center"/>
          </w:tcPr>
          <w:p w14:paraId="3F72763D">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5,107.79 </w:t>
            </w:r>
          </w:p>
        </w:tc>
      </w:tr>
      <w:tr w14:paraId="2E36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7D21CD7E">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7</w:t>
            </w:r>
          </w:p>
        </w:tc>
        <w:tc>
          <w:tcPr>
            <w:tcW w:w="2985" w:type="dxa"/>
            <w:tcBorders>
              <w:top w:val="nil"/>
              <w:left w:val="nil"/>
              <w:bottom w:val="single" w:color="000000" w:sz="8" w:space="0"/>
              <w:right w:val="single" w:color="000000" w:sz="8" w:space="0"/>
            </w:tcBorders>
            <w:noWrap w:val="0"/>
            <w:vAlign w:val="center"/>
          </w:tcPr>
          <w:p w14:paraId="19595183">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已从资产负债表中扣除的抵质押品总和</w:t>
            </w:r>
          </w:p>
        </w:tc>
        <w:tc>
          <w:tcPr>
            <w:tcW w:w="2640" w:type="dxa"/>
            <w:tcBorders>
              <w:top w:val="nil"/>
              <w:left w:val="nil"/>
              <w:bottom w:val="single" w:color="000000" w:sz="8" w:space="0"/>
              <w:right w:val="single" w:color="000000" w:sz="8" w:space="0"/>
            </w:tcBorders>
            <w:noWrap w:val="0"/>
            <w:vAlign w:val="center"/>
          </w:tcPr>
          <w:p w14:paraId="10BE271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0B60E37C">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79E8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1833EDF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8</w:t>
            </w:r>
          </w:p>
        </w:tc>
        <w:tc>
          <w:tcPr>
            <w:tcW w:w="2985" w:type="dxa"/>
            <w:tcBorders>
              <w:top w:val="nil"/>
              <w:left w:val="nil"/>
              <w:bottom w:val="single" w:color="000000" w:sz="8" w:space="0"/>
              <w:right w:val="single" w:color="000000" w:sz="8" w:space="0"/>
            </w:tcBorders>
            <w:noWrap w:val="0"/>
            <w:vAlign w:val="center"/>
          </w:tcPr>
          <w:p w14:paraId="323B6B6F">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减：因提供合格保证金形成的应收资产</w:t>
            </w:r>
          </w:p>
        </w:tc>
        <w:tc>
          <w:tcPr>
            <w:tcW w:w="2640" w:type="dxa"/>
            <w:tcBorders>
              <w:top w:val="nil"/>
              <w:left w:val="nil"/>
              <w:bottom w:val="single" w:color="000000" w:sz="8" w:space="0"/>
              <w:right w:val="single" w:color="000000" w:sz="8" w:space="0"/>
            </w:tcBorders>
            <w:noWrap w:val="0"/>
            <w:vAlign w:val="center"/>
          </w:tcPr>
          <w:p w14:paraId="412756E4">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-6,309.36 </w:t>
            </w:r>
          </w:p>
        </w:tc>
        <w:tc>
          <w:tcPr>
            <w:tcW w:w="2640" w:type="dxa"/>
            <w:tcBorders>
              <w:top w:val="nil"/>
              <w:left w:val="nil"/>
              <w:bottom w:val="single" w:color="000000" w:sz="8" w:space="0"/>
              <w:right w:val="single" w:color="000000" w:sz="8" w:space="0"/>
            </w:tcBorders>
            <w:noWrap w:val="0"/>
            <w:vAlign w:val="center"/>
          </w:tcPr>
          <w:p w14:paraId="11A619C6">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-5,813.56 </w:t>
            </w:r>
          </w:p>
        </w:tc>
      </w:tr>
      <w:tr w14:paraId="4017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69BE0D5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9</w:t>
            </w:r>
          </w:p>
        </w:tc>
        <w:tc>
          <w:tcPr>
            <w:tcW w:w="2985" w:type="dxa"/>
            <w:tcBorders>
              <w:top w:val="nil"/>
              <w:left w:val="nil"/>
              <w:bottom w:val="single" w:color="000000" w:sz="8" w:space="0"/>
              <w:right w:val="single" w:color="000000" w:sz="8" w:space="0"/>
            </w:tcBorders>
            <w:noWrap w:val="0"/>
            <w:vAlign w:val="center"/>
          </w:tcPr>
          <w:p w14:paraId="4C74DAA4">
            <w:pPr>
              <w:keepNext w:val="0"/>
              <w:keepLines w:val="0"/>
              <w:widowControl/>
              <w:suppressLineNumbers w:val="0"/>
              <w:jc w:val="both"/>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减：为客户提供清算服务时与中央交易对手交易形成的衍生工具资产余额</w:t>
            </w:r>
          </w:p>
        </w:tc>
        <w:tc>
          <w:tcPr>
            <w:tcW w:w="2640" w:type="dxa"/>
            <w:tcBorders>
              <w:top w:val="nil"/>
              <w:left w:val="nil"/>
              <w:bottom w:val="single" w:color="000000" w:sz="8" w:space="0"/>
              <w:right w:val="single" w:color="000000" w:sz="8" w:space="0"/>
            </w:tcBorders>
            <w:noWrap w:val="0"/>
            <w:vAlign w:val="center"/>
          </w:tcPr>
          <w:p w14:paraId="3A60ABE4">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22FC794E">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449C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43E85C7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10</w:t>
            </w:r>
          </w:p>
        </w:tc>
        <w:tc>
          <w:tcPr>
            <w:tcW w:w="2985" w:type="dxa"/>
            <w:tcBorders>
              <w:top w:val="nil"/>
              <w:left w:val="nil"/>
              <w:bottom w:val="single" w:color="000000" w:sz="8" w:space="0"/>
              <w:right w:val="single" w:color="000000" w:sz="8" w:space="0"/>
            </w:tcBorders>
            <w:noWrap w:val="0"/>
            <w:vAlign w:val="center"/>
          </w:tcPr>
          <w:p w14:paraId="631A18D8">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卖出信用衍生工具的名义本金</w:t>
            </w:r>
          </w:p>
        </w:tc>
        <w:tc>
          <w:tcPr>
            <w:tcW w:w="2640" w:type="dxa"/>
            <w:tcBorders>
              <w:top w:val="nil"/>
              <w:left w:val="nil"/>
              <w:bottom w:val="single" w:color="000000" w:sz="8" w:space="0"/>
              <w:right w:val="single" w:color="000000" w:sz="8" w:space="0"/>
            </w:tcBorders>
            <w:noWrap w:val="0"/>
            <w:vAlign w:val="center"/>
          </w:tcPr>
          <w:p w14:paraId="3F0843D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30B8EAF9">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42FE2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4689789">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11</w:t>
            </w:r>
          </w:p>
        </w:tc>
        <w:tc>
          <w:tcPr>
            <w:tcW w:w="2985" w:type="dxa"/>
            <w:tcBorders>
              <w:top w:val="nil"/>
              <w:left w:val="nil"/>
              <w:bottom w:val="single" w:color="000000" w:sz="8" w:space="0"/>
              <w:right w:val="single" w:color="000000" w:sz="8" w:space="0"/>
            </w:tcBorders>
            <w:noWrap w:val="0"/>
            <w:vAlign w:val="center"/>
          </w:tcPr>
          <w:p w14:paraId="2E9CE35F">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减：可扣除的卖出信用衍生工具资产余额</w:t>
            </w:r>
          </w:p>
        </w:tc>
        <w:tc>
          <w:tcPr>
            <w:tcW w:w="2640" w:type="dxa"/>
            <w:tcBorders>
              <w:top w:val="nil"/>
              <w:left w:val="nil"/>
              <w:bottom w:val="single" w:color="000000" w:sz="8" w:space="0"/>
              <w:right w:val="single" w:color="000000" w:sz="8" w:space="0"/>
            </w:tcBorders>
            <w:noWrap w:val="0"/>
            <w:vAlign w:val="center"/>
          </w:tcPr>
          <w:p w14:paraId="1824792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4C17DCEF">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7B8B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882895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12</w:t>
            </w:r>
          </w:p>
        </w:tc>
        <w:tc>
          <w:tcPr>
            <w:tcW w:w="2985" w:type="dxa"/>
            <w:tcBorders>
              <w:top w:val="nil"/>
              <w:left w:val="nil"/>
              <w:bottom w:val="single" w:color="000000" w:sz="8" w:space="0"/>
              <w:right w:val="single" w:color="000000" w:sz="8" w:space="0"/>
            </w:tcBorders>
            <w:noWrap w:val="0"/>
            <w:vAlign w:val="center"/>
          </w:tcPr>
          <w:p w14:paraId="16DDA68A">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衍生工具资产余额</w:t>
            </w:r>
          </w:p>
        </w:tc>
        <w:tc>
          <w:tcPr>
            <w:tcW w:w="2640" w:type="dxa"/>
            <w:tcBorders>
              <w:top w:val="nil"/>
              <w:left w:val="nil"/>
              <w:bottom w:val="single" w:color="000000" w:sz="8" w:space="0"/>
              <w:right w:val="single" w:color="000000" w:sz="8" w:space="0"/>
            </w:tcBorders>
            <w:noWrap w:val="0"/>
            <w:vAlign w:val="center"/>
          </w:tcPr>
          <w:p w14:paraId="1D938AF7">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-3,011.24 </w:t>
            </w:r>
          </w:p>
        </w:tc>
        <w:tc>
          <w:tcPr>
            <w:tcW w:w="2640" w:type="dxa"/>
            <w:tcBorders>
              <w:top w:val="nil"/>
              <w:left w:val="nil"/>
              <w:bottom w:val="single" w:color="000000" w:sz="8" w:space="0"/>
              <w:right w:val="single" w:color="000000" w:sz="8" w:space="0"/>
            </w:tcBorders>
            <w:noWrap w:val="0"/>
            <w:vAlign w:val="center"/>
          </w:tcPr>
          <w:p w14:paraId="76DF697C">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2,110.25 </w:t>
            </w:r>
          </w:p>
        </w:tc>
      </w:tr>
      <w:tr w14:paraId="32149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1F231984">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证券融资交易资产余额</w:t>
            </w:r>
          </w:p>
        </w:tc>
      </w:tr>
      <w:tr w14:paraId="6C9BA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5BCA707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13</w:t>
            </w:r>
          </w:p>
        </w:tc>
        <w:tc>
          <w:tcPr>
            <w:tcW w:w="2985" w:type="dxa"/>
            <w:tcBorders>
              <w:top w:val="single" w:color="000000" w:sz="8" w:space="0"/>
              <w:left w:val="nil"/>
              <w:bottom w:val="single" w:color="000000" w:sz="8" w:space="0"/>
              <w:right w:val="single" w:color="000000" w:sz="8" w:space="0"/>
            </w:tcBorders>
            <w:noWrap w:val="0"/>
            <w:vAlign w:val="center"/>
          </w:tcPr>
          <w:p w14:paraId="3D62C199">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证券融资交易的会计资产余额</w:t>
            </w:r>
          </w:p>
        </w:tc>
        <w:tc>
          <w:tcPr>
            <w:tcW w:w="2640" w:type="dxa"/>
            <w:tcBorders>
              <w:top w:val="single" w:color="000000" w:sz="8" w:space="0"/>
              <w:left w:val="nil"/>
              <w:bottom w:val="single" w:color="000000" w:sz="8" w:space="0"/>
              <w:right w:val="single" w:color="000000" w:sz="8" w:space="0"/>
            </w:tcBorders>
            <w:noWrap w:val="0"/>
            <w:vAlign w:val="center"/>
          </w:tcPr>
          <w:p w14:paraId="284C590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single" w:color="000000" w:sz="8" w:space="0"/>
              <w:left w:val="nil"/>
              <w:bottom w:val="single" w:color="000000" w:sz="8" w:space="0"/>
              <w:right w:val="single" w:color="000000" w:sz="8" w:space="0"/>
            </w:tcBorders>
            <w:noWrap w:val="0"/>
            <w:vAlign w:val="center"/>
          </w:tcPr>
          <w:p w14:paraId="7C207B00">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728F7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74D22DBF">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14</w:t>
            </w:r>
          </w:p>
        </w:tc>
        <w:tc>
          <w:tcPr>
            <w:tcW w:w="2985" w:type="dxa"/>
            <w:tcBorders>
              <w:top w:val="nil"/>
              <w:left w:val="nil"/>
              <w:bottom w:val="single" w:color="000000" w:sz="8" w:space="0"/>
              <w:right w:val="single" w:color="000000" w:sz="8" w:space="0"/>
            </w:tcBorders>
            <w:noWrap w:val="0"/>
            <w:vAlign w:val="center"/>
          </w:tcPr>
          <w:p w14:paraId="07A3EC29">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减：可以扣除的证券融资交易资产余额</w:t>
            </w:r>
          </w:p>
        </w:tc>
        <w:tc>
          <w:tcPr>
            <w:tcW w:w="2640" w:type="dxa"/>
            <w:tcBorders>
              <w:top w:val="nil"/>
              <w:left w:val="nil"/>
              <w:bottom w:val="single" w:color="000000" w:sz="8" w:space="0"/>
              <w:right w:val="single" w:color="000000" w:sz="8" w:space="0"/>
            </w:tcBorders>
            <w:noWrap w:val="0"/>
            <w:vAlign w:val="center"/>
          </w:tcPr>
          <w:p w14:paraId="51AC630B">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5A48545F">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7B03A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74CABB7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15</w:t>
            </w:r>
          </w:p>
        </w:tc>
        <w:tc>
          <w:tcPr>
            <w:tcW w:w="2985" w:type="dxa"/>
            <w:tcBorders>
              <w:top w:val="nil"/>
              <w:left w:val="nil"/>
              <w:bottom w:val="single" w:color="000000" w:sz="8" w:space="0"/>
              <w:right w:val="single" w:color="000000" w:sz="8" w:space="0"/>
            </w:tcBorders>
            <w:noWrap w:val="0"/>
            <w:vAlign w:val="center"/>
          </w:tcPr>
          <w:p w14:paraId="0CF1E4B2">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证券融资交易的交易对手信用风险暴露</w:t>
            </w:r>
          </w:p>
        </w:tc>
        <w:tc>
          <w:tcPr>
            <w:tcW w:w="2640" w:type="dxa"/>
            <w:tcBorders>
              <w:top w:val="nil"/>
              <w:left w:val="nil"/>
              <w:bottom w:val="single" w:color="000000" w:sz="8" w:space="0"/>
              <w:right w:val="single" w:color="000000" w:sz="8" w:space="0"/>
            </w:tcBorders>
            <w:noWrap w:val="0"/>
            <w:vAlign w:val="center"/>
          </w:tcPr>
          <w:p w14:paraId="56381412">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92,224.28 </w:t>
            </w:r>
          </w:p>
        </w:tc>
        <w:tc>
          <w:tcPr>
            <w:tcW w:w="2640" w:type="dxa"/>
            <w:tcBorders>
              <w:top w:val="nil"/>
              <w:left w:val="nil"/>
              <w:bottom w:val="single" w:color="000000" w:sz="8" w:space="0"/>
              <w:right w:val="single" w:color="000000" w:sz="8" w:space="0"/>
            </w:tcBorders>
            <w:noWrap w:val="0"/>
            <w:vAlign w:val="center"/>
          </w:tcPr>
          <w:p w14:paraId="560148DC">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132,847.53 </w:t>
            </w:r>
          </w:p>
        </w:tc>
      </w:tr>
      <w:tr w14:paraId="053A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2E40E9D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16</w:t>
            </w:r>
          </w:p>
        </w:tc>
        <w:tc>
          <w:tcPr>
            <w:tcW w:w="2985" w:type="dxa"/>
            <w:tcBorders>
              <w:top w:val="nil"/>
              <w:left w:val="nil"/>
              <w:bottom w:val="single" w:color="000000" w:sz="8" w:space="0"/>
              <w:right w:val="single" w:color="000000" w:sz="8" w:space="0"/>
            </w:tcBorders>
            <w:noWrap w:val="0"/>
            <w:vAlign w:val="center"/>
          </w:tcPr>
          <w:p w14:paraId="2525026C">
            <w:pPr>
              <w:keepNext w:val="0"/>
              <w:keepLines w:val="0"/>
              <w:widowControl/>
              <w:suppressLineNumbers w:val="0"/>
              <w:jc w:val="both"/>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代理证券融资交易形成的证券融资交易资产余额</w:t>
            </w:r>
          </w:p>
        </w:tc>
        <w:tc>
          <w:tcPr>
            <w:tcW w:w="2640" w:type="dxa"/>
            <w:tcBorders>
              <w:top w:val="nil"/>
              <w:left w:val="nil"/>
              <w:bottom w:val="single" w:color="000000" w:sz="8" w:space="0"/>
              <w:right w:val="single" w:color="000000" w:sz="8" w:space="0"/>
            </w:tcBorders>
            <w:noWrap w:val="0"/>
            <w:vAlign w:val="center"/>
          </w:tcPr>
          <w:p w14:paraId="58666AD0">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c>
          <w:tcPr>
            <w:tcW w:w="2640" w:type="dxa"/>
            <w:tcBorders>
              <w:top w:val="nil"/>
              <w:left w:val="nil"/>
              <w:bottom w:val="single" w:color="000000" w:sz="8" w:space="0"/>
              <w:right w:val="single" w:color="000000" w:sz="8" w:space="0"/>
            </w:tcBorders>
            <w:noWrap w:val="0"/>
            <w:vAlign w:val="center"/>
          </w:tcPr>
          <w:p w14:paraId="4DFFF36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   </w:t>
            </w:r>
          </w:p>
        </w:tc>
      </w:tr>
      <w:tr w14:paraId="4A899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4425C136">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17</w:t>
            </w:r>
          </w:p>
        </w:tc>
        <w:tc>
          <w:tcPr>
            <w:tcW w:w="2985" w:type="dxa"/>
            <w:tcBorders>
              <w:top w:val="nil"/>
              <w:left w:val="nil"/>
              <w:bottom w:val="single" w:color="000000" w:sz="8" w:space="0"/>
              <w:right w:val="single" w:color="000000" w:sz="8" w:space="0"/>
            </w:tcBorders>
            <w:noWrap w:val="0"/>
            <w:vAlign w:val="center"/>
          </w:tcPr>
          <w:p w14:paraId="564EC6AD">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证券融资交易资产余额</w:t>
            </w:r>
          </w:p>
        </w:tc>
        <w:tc>
          <w:tcPr>
            <w:tcW w:w="2640" w:type="dxa"/>
            <w:tcBorders>
              <w:top w:val="nil"/>
              <w:left w:val="nil"/>
              <w:bottom w:val="single" w:color="000000" w:sz="8" w:space="0"/>
              <w:right w:val="single" w:color="000000" w:sz="8" w:space="0"/>
            </w:tcBorders>
            <w:noWrap w:val="0"/>
            <w:vAlign w:val="center"/>
          </w:tcPr>
          <w:p w14:paraId="37CE48A8">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92,224.28 </w:t>
            </w:r>
          </w:p>
        </w:tc>
        <w:tc>
          <w:tcPr>
            <w:tcW w:w="2640" w:type="dxa"/>
            <w:tcBorders>
              <w:top w:val="nil"/>
              <w:left w:val="nil"/>
              <w:bottom w:val="single" w:color="000000" w:sz="8" w:space="0"/>
              <w:right w:val="single" w:color="000000" w:sz="8" w:space="0"/>
            </w:tcBorders>
            <w:noWrap w:val="0"/>
            <w:vAlign w:val="center"/>
          </w:tcPr>
          <w:p w14:paraId="29582059">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132,847.53 </w:t>
            </w:r>
          </w:p>
        </w:tc>
      </w:tr>
      <w:tr w14:paraId="7DB15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4433AEEE">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表外项目余额</w:t>
            </w:r>
          </w:p>
        </w:tc>
      </w:tr>
      <w:tr w14:paraId="22F3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9A7EB9C">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18</w:t>
            </w:r>
          </w:p>
        </w:tc>
        <w:tc>
          <w:tcPr>
            <w:tcW w:w="2985" w:type="dxa"/>
            <w:tcBorders>
              <w:top w:val="single" w:color="000000" w:sz="8" w:space="0"/>
              <w:left w:val="nil"/>
              <w:bottom w:val="single" w:color="000000" w:sz="8" w:space="0"/>
              <w:right w:val="single" w:color="000000" w:sz="8" w:space="0"/>
            </w:tcBorders>
            <w:noWrap w:val="0"/>
            <w:vAlign w:val="center"/>
          </w:tcPr>
          <w:p w14:paraId="221FCB59">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表外项目余额</w:t>
            </w:r>
          </w:p>
        </w:tc>
        <w:tc>
          <w:tcPr>
            <w:tcW w:w="2640" w:type="dxa"/>
            <w:tcBorders>
              <w:top w:val="single" w:color="000000" w:sz="8" w:space="0"/>
              <w:left w:val="nil"/>
              <w:bottom w:val="single" w:color="000000" w:sz="8" w:space="0"/>
              <w:right w:val="single" w:color="000000" w:sz="8" w:space="0"/>
            </w:tcBorders>
            <w:noWrap w:val="0"/>
            <w:vAlign w:val="center"/>
          </w:tcPr>
          <w:p w14:paraId="4A8855BE">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3,757,877.60 </w:t>
            </w:r>
          </w:p>
        </w:tc>
        <w:tc>
          <w:tcPr>
            <w:tcW w:w="2640" w:type="dxa"/>
            <w:tcBorders>
              <w:top w:val="single" w:color="000000" w:sz="8" w:space="0"/>
              <w:left w:val="nil"/>
              <w:bottom w:val="single" w:color="000000" w:sz="8" w:space="0"/>
              <w:right w:val="single" w:color="000000" w:sz="8" w:space="0"/>
            </w:tcBorders>
            <w:noWrap w:val="0"/>
            <w:vAlign w:val="center"/>
          </w:tcPr>
          <w:p w14:paraId="0490B6A8">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3,080,032.21 </w:t>
            </w:r>
          </w:p>
        </w:tc>
      </w:tr>
      <w:tr w14:paraId="021AA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909215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19</w:t>
            </w:r>
          </w:p>
        </w:tc>
        <w:tc>
          <w:tcPr>
            <w:tcW w:w="2985" w:type="dxa"/>
            <w:tcBorders>
              <w:top w:val="nil"/>
              <w:left w:val="nil"/>
              <w:bottom w:val="single" w:color="000000" w:sz="8" w:space="0"/>
              <w:right w:val="single" w:color="000000" w:sz="8" w:space="0"/>
            </w:tcBorders>
            <w:noWrap w:val="0"/>
            <w:vAlign w:val="center"/>
          </w:tcPr>
          <w:p w14:paraId="1E1ABF50">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减：因信用转换调整的表外项目余额</w:t>
            </w:r>
          </w:p>
        </w:tc>
        <w:tc>
          <w:tcPr>
            <w:tcW w:w="2640" w:type="dxa"/>
            <w:tcBorders>
              <w:top w:val="nil"/>
              <w:left w:val="nil"/>
              <w:bottom w:val="single" w:color="000000" w:sz="8" w:space="0"/>
              <w:right w:val="single" w:color="000000" w:sz="8" w:space="0"/>
            </w:tcBorders>
            <w:noWrap w:val="0"/>
            <w:vAlign w:val="center"/>
          </w:tcPr>
          <w:p w14:paraId="0C22AE36">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-414,672.75 </w:t>
            </w:r>
          </w:p>
        </w:tc>
        <w:tc>
          <w:tcPr>
            <w:tcW w:w="2640" w:type="dxa"/>
            <w:tcBorders>
              <w:top w:val="nil"/>
              <w:left w:val="nil"/>
              <w:bottom w:val="single" w:color="000000" w:sz="8" w:space="0"/>
              <w:right w:val="single" w:color="000000" w:sz="8" w:space="0"/>
            </w:tcBorders>
            <w:noWrap w:val="0"/>
            <w:vAlign w:val="center"/>
          </w:tcPr>
          <w:p w14:paraId="4328389F">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-370,229.12 </w:t>
            </w:r>
          </w:p>
        </w:tc>
      </w:tr>
      <w:tr w14:paraId="30BE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0B8C349A">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20</w:t>
            </w:r>
          </w:p>
        </w:tc>
        <w:tc>
          <w:tcPr>
            <w:tcW w:w="2985" w:type="dxa"/>
            <w:tcBorders>
              <w:top w:val="nil"/>
              <w:left w:val="nil"/>
              <w:bottom w:val="single" w:color="000000" w:sz="8" w:space="0"/>
              <w:right w:val="single" w:color="000000" w:sz="8" w:space="0"/>
            </w:tcBorders>
            <w:noWrap w:val="0"/>
            <w:vAlign w:val="center"/>
          </w:tcPr>
          <w:p w14:paraId="12A141C1">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减：减值准备</w:t>
            </w:r>
          </w:p>
        </w:tc>
        <w:tc>
          <w:tcPr>
            <w:tcW w:w="2640" w:type="dxa"/>
            <w:tcBorders>
              <w:top w:val="nil"/>
              <w:left w:val="nil"/>
              <w:bottom w:val="single" w:color="000000" w:sz="8" w:space="0"/>
              <w:right w:val="single" w:color="000000" w:sz="8" w:space="0"/>
            </w:tcBorders>
            <w:noWrap w:val="0"/>
            <w:vAlign w:val="center"/>
          </w:tcPr>
          <w:p w14:paraId="1CFDD0C9">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-574.75 </w:t>
            </w:r>
          </w:p>
        </w:tc>
        <w:tc>
          <w:tcPr>
            <w:tcW w:w="2640" w:type="dxa"/>
            <w:tcBorders>
              <w:top w:val="nil"/>
              <w:left w:val="nil"/>
              <w:bottom w:val="single" w:color="000000" w:sz="8" w:space="0"/>
              <w:right w:val="single" w:color="000000" w:sz="8" w:space="0"/>
            </w:tcBorders>
            <w:noWrap w:val="0"/>
            <w:vAlign w:val="center"/>
          </w:tcPr>
          <w:p w14:paraId="20114254">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-561.87 </w:t>
            </w:r>
          </w:p>
        </w:tc>
      </w:tr>
      <w:tr w14:paraId="3F65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5F54FAC3">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21</w:t>
            </w:r>
          </w:p>
        </w:tc>
        <w:tc>
          <w:tcPr>
            <w:tcW w:w="2985" w:type="dxa"/>
            <w:tcBorders>
              <w:top w:val="nil"/>
              <w:left w:val="nil"/>
              <w:bottom w:val="single" w:color="000000" w:sz="8" w:space="0"/>
              <w:right w:val="single" w:color="000000" w:sz="8" w:space="0"/>
            </w:tcBorders>
            <w:noWrap w:val="0"/>
            <w:vAlign w:val="center"/>
          </w:tcPr>
          <w:p w14:paraId="6F8AE7AF">
            <w:pPr>
              <w:keepNext w:val="0"/>
              <w:keepLines w:val="0"/>
              <w:widowControl/>
              <w:suppressLineNumbers w:val="0"/>
              <w:jc w:val="left"/>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调整后的表外项目余额</w:t>
            </w:r>
          </w:p>
        </w:tc>
        <w:tc>
          <w:tcPr>
            <w:tcW w:w="2640" w:type="dxa"/>
            <w:tcBorders>
              <w:top w:val="nil"/>
              <w:left w:val="nil"/>
              <w:bottom w:val="single" w:color="000000" w:sz="8" w:space="0"/>
              <w:right w:val="single" w:color="000000" w:sz="8" w:space="0"/>
            </w:tcBorders>
            <w:noWrap w:val="0"/>
            <w:vAlign w:val="center"/>
          </w:tcPr>
          <w:p w14:paraId="796A337E">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3,342,630.10 </w:t>
            </w:r>
          </w:p>
        </w:tc>
        <w:tc>
          <w:tcPr>
            <w:tcW w:w="2640" w:type="dxa"/>
            <w:tcBorders>
              <w:top w:val="nil"/>
              <w:left w:val="nil"/>
              <w:bottom w:val="single" w:color="000000" w:sz="8" w:space="0"/>
              <w:right w:val="single" w:color="000000" w:sz="8" w:space="0"/>
            </w:tcBorders>
            <w:noWrap w:val="0"/>
            <w:vAlign w:val="center"/>
          </w:tcPr>
          <w:p w14:paraId="09B4BFA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2,709,241.22 </w:t>
            </w:r>
          </w:p>
        </w:tc>
      </w:tr>
      <w:tr w14:paraId="2C131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7404D4EF">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一级资本净额和调整后表内外资产余额</w:t>
            </w:r>
          </w:p>
        </w:tc>
      </w:tr>
      <w:tr w14:paraId="0C427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0B37690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22</w:t>
            </w:r>
          </w:p>
        </w:tc>
        <w:tc>
          <w:tcPr>
            <w:tcW w:w="2985" w:type="dxa"/>
            <w:tcBorders>
              <w:top w:val="single" w:color="000000" w:sz="8" w:space="0"/>
              <w:left w:val="nil"/>
              <w:bottom w:val="single" w:color="000000" w:sz="8" w:space="0"/>
              <w:right w:val="single" w:color="000000" w:sz="8" w:space="0"/>
            </w:tcBorders>
            <w:noWrap w:val="0"/>
            <w:vAlign w:val="center"/>
          </w:tcPr>
          <w:p w14:paraId="6C8930BC">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一级资本净额</w:t>
            </w:r>
          </w:p>
        </w:tc>
        <w:tc>
          <w:tcPr>
            <w:tcW w:w="2640" w:type="dxa"/>
            <w:tcBorders>
              <w:top w:val="single" w:color="000000" w:sz="8" w:space="0"/>
              <w:left w:val="nil"/>
              <w:bottom w:val="single" w:color="000000" w:sz="8" w:space="0"/>
              <w:right w:val="single" w:color="000000" w:sz="8" w:space="0"/>
            </w:tcBorders>
            <w:noWrap w:val="0"/>
            <w:vAlign w:val="center"/>
          </w:tcPr>
          <w:p w14:paraId="71161623">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2,016,231.97 </w:t>
            </w:r>
          </w:p>
        </w:tc>
        <w:tc>
          <w:tcPr>
            <w:tcW w:w="2640" w:type="dxa"/>
            <w:tcBorders>
              <w:top w:val="single" w:color="000000" w:sz="8" w:space="0"/>
              <w:left w:val="nil"/>
              <w:bottom w:val="single" w:color="000000" w:sz="8" w:space="0"/>
              <w:right w:val="single" w:color="000000" w:sz="8" w:space="0"/>
            </w:tcBorders>
            <w:noWrap w:val="0"/>
            <w:vAlign w:val="center"/>
          </w:tcPr>
          <w:p w14:paraId="5434D1A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1,983,339.88 </w:t>
            </w:r>
          </w:p>
        </w:tc>
      </w:tr>
      <w:tr w14:paraId="307D4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0A7C4C4B">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23</w:t>
            </w:r>
          </w:p>
        </w:tc>
        <w:tc>
          <w:tcPr>
            <w:tcW w:w="2985" w:type="dxa"/>
            <w:tcBorders>
              <w:top w:val="nil"/>
              <w:left w:val="nil"/>
              <w:bottom w:val="single" w:color="000000" w:sz="8" w:space="0"/>
              <w:right w:val="single" w:color="000000" w:sz="8" w:space="0"/>
            </w:tcBorders>
            <w:noWrap w:val="0"/>
            <w:vAlign w:val="center"/>
          </w:tcPr>
          <w:p w14:paraId="5F43C9BF">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调整后表内外资产余额</w:t>
            </w:r>
          </w:p>
        </w:tc>
        <w:tc>
          <w:tcPr>
            <w:tcW w:w="2640" w:type="dxa"/>
            <w:tcBorders>
              <w:top w:val="nil"/>
              <w:left w:val="nil"/>
              <w:bottom w:val="single" w:color="000000" w:sz="8" w:space="0"/>
              <w:right w:val="single" w:color="000000" w:sz="8" w:space="0"/>
            </w:tcBorders>
            <w:noWrap w:val="0"/>
            <w:vAlign w:val="center"/>
          </w:tcPr>
          <w:p w14:paraId="2AFD0F94">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26,304,104.55 </w:t>
            </w:r>
          </w:p>
        </w:tc>
        <w:tc>
          <w:tcPr>
            <w:tcW w:w="2640" w:type="dxa"/>
            <w:tcBorders>
              <w:top w:val="nil"/>
              <w:left w:val="nil"/>
              <w:bottom w:val="single" w:color="000000" w:sz="8" w:space="0"/>
              <w:right w:val="single" w:color="000000" w:sz="8" w:space="0"/>
            </w:tcBorders>
            <w:noWrap w:val="0"/>
            <w:vAlign w:val="center"/>
          </w:tcPr>
          <w:p w14:paraId="4C5A1FC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25,062,669.25 </w:t>
            </w:r>
          </w:p>
        </w:tc>
      </w:tr>
      <w:tr w14:paraId="1900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345" w:type="dxa"/>
            <w:gridSpan w:val="4"/>
            <w:tcBorders>
              <w:top w:val="nil"/>
              <w:left w:val="single" w:color="000000" w:sz="8" w:space="0"/>
              <w:bottom w:val="single" w:color="000000" w:sz="8" w:space="0"/>
              <w:right w:val="single" w:color="000000" w:sz="8" w:space="0"/>
            </w:tcBorders>
            <w:shd w:val="clear" w:color="auto" w:fill="A6A6A6"/>
            <w:noWrap w:val="0"/>
            <w:vAlign w:val="center"/>
          </w:tcPr>
          <w:p w14:paraId="64C3EF2B">
            <w:pPr>
              <w:keepNext w:val="0"/>
              <w:keepLines w:val="0"/>
              <w:widowControl/>
              <w:suppressLineNumbers w:val="0"/>
              <w:jc w:val="center"/>
              <w:textAlignment w:val="center"/>
              <w:rPr>
                <w:rFonts w:hint="eastAsia" w:ascii="Arial Narrow" w:hAnsi="Arial Narrow" w:eastAsia="仿宋_GB2312" w:cs="黑体"/>
                <w:b/>
                <w:bCs/>
                <w:i w:val="0"/>
                <w:iCs w:val="0"/>
                <w:color w:val="000000"/>
                <w:sz w:val="21"/>
                <w:szCs w:val="22"/>
                <w:u w:val="none"/>
              </w:rPr>
            </w:pPr>
            <w:r>
              <w:rPr>
                <w:rFonts w:hint="eastAsia" w:ascii="Arial Narrow" w:hAnsi="Arial Narrow" w:eastAsia="仿宋_GB2312" w:cs="黑体"/>
                <w:b/>
                <w:bCs/>
                <w:i w:val="0"/>
                <w:iCs w:val="0"/>
                <w:color w:val="000000"/>
                <w:kern w:val="0"/>
                <w:sz w:val="21"/>
                <w:szCs w:val="22"/>
                <w:u w:val="none"/>
                <w:lang w:val="en-US" w:eastAsia="zh-CN" w:bidi="ar"/>
              </w:rPr>
              <w:t>杠杆率</w:t>
            </w:r>
          </w:p>
        </w:tc>
      </w:tr>
      <w:tr w14:paraId="06687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4FD67338">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24</w:t>
            </w:r>
          </w:p>
        </w:tc>
        <w:tc>
          <w:tcPr>
            <w:tcW w:w="2985" w:type="dxa"/>
            <w:tcBorders>
              <w:top w:val="single" w:color="000000" w:sz="8" w:space="0"/>
              <w:left w:val="nil"/>
              <w:bottom w:val="single" w:color="000000" w:sz="8" w:space="0"/>
              <w:right w:val="single" w:color="000000" w:sz="8" w:space="0"/>
            </w:tcBorders>
            <w:noWrap w:val="0"/>
            <w:vAlign w:val="center"/>
          </w:tcPr>
          <w:p w14:paraId="750745F5">
            <w:pPr>
              <w:keepNext w:val="0"/>
              <w:keepLines w:val="0"/>
              <w:widowControl/>
              <w:suppressLineNumbers w:val="0"/>
              <w:jc w:val="both"/>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杠杆率（%）</w:t>
            </w:r>
          </w:p>
        </w:tc>
        <w:tc>
          <w:tcPr>
            <w:tcW w:w="2640" w:type="dxa"/>
            <w:tcBorders>
              <w:top w:val="single" w:color="000000" w:sz="8" w:space="0"/>
              <w:left w:val="nil"/>
              <w:bottom w:val="single" w:color="000000" w:sz="8" w:space="0"/>
              <w:right w:val="single" w:color="000000" w:sz="8" w:space="0"/>
            </w:tcBorders>
            <w:noWrap w:val="0"/>
            <w:vAlign w:val="center"/>
          </w:tcPr>
          <w:p w14:paraId="0BDD14C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7.67 </w:t>
            </w:r>
          </w:p>
        </w:tc>
        <w:tc>
          <w:tcPr>
            <w:tcW w:w="2640" w:type="dxa"/>
            <w:tcBorders>
              <w:top w:val="single" w:color="000000" w:sz="8" w:space="0"/>
              <w:left w:val="nil"/>
              <w:bottom w:val="single" w:color="000000" w:sz="8" w:space="0"/>
              <w:right w:val="single" w:color="000000" w:sz="8" w:space="0"/>
            </w:tcBorders>
            <w:noWrap w:val="0"/>
            <w:vAlign w:val="center"/>
          </w:tcPr>
          <w:p w14:paraId="1DF42805">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7.91 </w:t>
            </w:r>
          </w:p>
        </w:tc>
      </w:tr>
      <w:tr w14:paraId="5E304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5AC9EE12">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24a</w:t>
            </w:r>
          </w:p>
        </w:tc>
        <w:tc>
          <w:tcPr>
            <w:tcW w:w="2985" w:type="dxa"/>
            <w:tcBorders>
              <w:top w:val="nil"/>
              <w:left w:val="nil"/>
              <w:bottom w:val="single" w:color="000000" w:sz="8" w:space="0"/>
              <w:right w:val="single" w:color="000000" w:sz="8" w:space="0"/>
            </w:tcBorders>
            <w:noWrap w:val="0"/>
            <w:vAlign w:val="center"/>
          </w:tcPr>
          <w:p w14:paraId="2229FF87">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杠杆率a（%）</w:t>
            </w:r>
          </w:p>
        </w:tc>
        <w:tc>
          <w:tcPr>
            <w:tcW w:w="2640" w:type="dxa"/>
            <w:tcBorders>
              <w:top w:val="nil"/>
              <w:left w:val="nil"/>
              <w:bottom w:val="single" w:color="000000" w:sz="8" w:space="0"/>
              <w:right w:val="single" w:color="000000" w:sz="8" w:space="0"/>
            </w:tcBorders>
            <w:noWrap w:val="0"/>
            <w:vAlign w:val="center"/>
          </w:tcPr>
          <w:p w14:paraId="39D860FA">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7.67 </w:t>
            </w:r>
          </w:p>
        </w:tc>
        <w:tc>
          <w:tcPr>
            <w:tcW w:w="2640" w:type="dxa"/>
            <w:tcBorders>
              <w:top w:val="nil"/>
              <w:left w:val="nil"/>
              <w:bottom w:val="single" w:color="000000" w:sz="8" w:space="0"/>
              <w:right w:val="single" w:color="000000" w:sz="8" w:space="0"/>
            </w:tcBorders>
            <w:noWrap w:val="0"/>
            <w:vAlign w:val="center"/>
          </w:tcPr>
          <w:p w14:paraId="26546C5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7.91 </w:t>
            </w:r>
          </w:p>
        </w:tc>
      </w:tr>
      <w:tr w14:paraId="048F8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80" w:type="dxa"/>
            <w:tcBorders>
              <w:top w:val="nil"/>
              <w:left w:val="single" w:color="000000" w:sz="8" w:space="0"/>
              <w:bottom w:val="single" w:color="000000" w:sz="8" w:space="0"/>
              <w:right w:val="single" w:color="000000" w:sz="8" w:space="0"/>
            </w:tcBorders>
            <w:noWrap w:val="0"/>
            <w:vAlign w:val="center"/>
          </w:tcPr>
          <w:p w14:paraId="36EE94DD">
            <w:pPr>
              <w:keepNext w:val="0"/>
              <w:keepLines w:val="0"/>
              <w:widowControl/>
              <w:suppressLineNumbers w:val="0"/>
              <w:jc w:val="center"/>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25</w:t>
            </w:r>
          </w:p>
        </w:tc>
        <w:tc>
          <w:tcPr>
            <w:tcW w:w="2985" w:type="dxa"/>
            <w:tcBorders>
              <w:top w:val="nil"/>
              <w:left w:val="nil"/>
              <w:bottom w:val="single" w:color="000000" w:sz="8" w:space="0"/>
              <w:right w:val="single" w:color="000000" w:sz="8" w:space="0"/>
            </w:tcBorders>
            <w:noWrap w:val="0"/>
            <w:vAlign w:val="center"/>
          </w:tcPr>
          <w:p w14:paraId="756B46D2">
            <w:pPr>
              <w:keepNext w:val="0"/>
              <w:keepLines w:val="0"/>
              <w:widowControl/>
              <w:suppressLineNumbers w:val="0"/>
              <w:jc w:val="left"/>
              <w:textAlignment w:val="center"/>
              <w:rPr>
                <w:rFonts w:hint="eastAsia" w:ascii="Arial Narrow" w:hAnsi="Arial Narrow" w:eastAsia="仿宋_GB2312" w:cs="黑体"/>
                <w:i w:val="0"/>
                <w:iCs w:val="0"/>
                <w:color w:val="000000"/>
                <w:sz w:val="21"/>
                <w:szCs w:val="22"/>
                <w:u w:val="none"/>
              </w:rPr>
            </w:pPr>
            <w:r>
              <w:rPr>
                <w:rFonts w:hint="eastAsia" w:ascii="Arial Narrow" w:hAnsi="Arial Narrow" w:eastAsia="仿宋_GB2312" w:cs="黑体"/>
                <w:i w:val="0"/>
                <w:iCs w:val="0"/>
                <w:color w:val="000000"/>
                <w:kern w:val="0"/>
                <w:sz w:val="21"/>
                <w:szCs w:val="22"/>
                <w:u w:val="none"/>
                <w:lang w:val="en-US" w:eastAsia="zh-CN" w:bidi="ar"/>
              </w:rPr>
              <w:t>最低杠杆率要求（%）</w:t>
            </w:r>
          </w:p>
        </w:tc>
        <w:tc>
          <w:tcPr>
            <w:tcW w:w="2640" w:type="dxa"/>
            <w:tcBorders>
              <w:top w:val="nil"/>
              <w:left w:val="nil"/>
              <w:bottom w:val="single" w:color="000000" w:sz="8" w:space="0"/>
              <w:right w:val="single" w:color="000000" w:sz="8" w:space="0"/>
            </w:tcBorders>
            <w:noWrap w:val="0"/>
            <w:vAlign w:val="center"/>
          </w:tcPr>
          <w:p w14:paraId="0C6F1019">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4.00 </w:t>
            </w:r>
          </w:p>
        </w:tc>
        <w:tc>
          <w:tcPr>
            <w:tcW w:w="2640" w:type="dxa"/>
            <w:tcBorders>
              <w:top w:val="nil"/>
              <w:left w:val="nil"/>
              <w:bottom w:val="single" w:color="000000" w:sz="8" w:space="0"/>
              <w:right w:val="single" w:color="000000" w:sz="8" w:space="0"/>
            </w:tcBorders>
            <w:noWrap w:val="0"/>
            <w:vAlign w:val="center"/>
          </w:tcPr>
          <w:p w14:paraId="402FEB71">
            <w:pPr>
              <w:keepNext w:val="0"/>
              <w:keepLines w:val="0"/>
              <w:widowControl/>
              <w:suppressLineNumbers w:val="0"/>
              <w:jc w:val="center"/>
              <w:textAlignment w:val="center"/>
              <w:rPr>
                <w:rFonts w:hint="default" w:ascii="Arial Narrow" w:hAnsi="Arial Narrow" w:eastAsia="仿宋_GB2312" w:cs="Times New Roman"/>
                <w:i w:val="0"/>
                <w:iCs w:val="0"/>
                <w:color w:val="000000"/>
                <w:sz w:val="21"/>
                <w:szCs w:val="22"/>
                <w:u w:val="none"/>
              </w:rPr>
            </w:pPr>
            <w:r>
              <w:rPr>
                <w:rFonts w:hint="default" w:ascii="Arial Narrow" w:hAnsi="Arial Narrow" w:eastAsia="仿宋_GB2312" w:cs="Times New Roman"/>
                <w:i w:val="0"/>
                <w:iCs w:val="0"/>
                <w:color w:val="000000"/>
                <w:kern w:val="0"/>
                <w:sz w:val="21"/>
                <w:szCs w:val="22"/>
                <w:u w:val="none"/>
                <w:lang w:val="en-US" w:eastAsia="zh-CN" w:bidi="ar"/>
              </w:rPr>
              <w:t xml:space="preserve"> 4.00 </w:t>
            </w:r>
          </w:p>
        </w:tc>
      </w:tr>
    </w:tbl>
    <w:p w14:paraId="0B35CD8F">
      <w:pPr>
        <w:pStyle w:val="6"/>
        <w:spacing w:before="36"/>
        <w:ind w:right="110"/>
        <w:rPr>
          <w:rFonts w:hint="eastAsia"/>
          <w:sz w:val="22"/>
          <w:szCs w:val="22"/>
        </w:rPr>
      </w:pPr>
    </w:p>
    <w:p w14:paraId="5C492E40">
      <w:pPr>
        <w:pStyle w:val="17"/>
        <w:ind w:firstLine="640"/>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B224016-42F4-46EC-976B-A43D99682EF0}"/>
  </w:font>
  <w:font w:name="黑体">
    <w:panose1 w:val="02010609060101010101"/>
    <w:charset w:val="86"/>
    <w:family w:val="auto"/>
    <w:pitch w:val="default"/>
    <w:sig w:usb0="800002BF" w:usb1="38CF7CFA" w:usb2="00000016" w:usb3="00000000" w:csb0="00040001" w:csb1="00000000"/>
    <w:embedRegular r:id="rId2" w:fontKey="{C253F6A8-15AC-49C7-95CA-01792A6F5F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6863C146-1A10-45F8-AB00-D17B55E6B2F0}"/>
  </w:font>
  <w:font w:name="Arial Narrow">
    <w:panose1 w:val="020B0606020202030204"/>
    <w:charset w:val="00"/>
    <w:family w:val="swiss"/>
    <w:pitch w:val="default"/>
    <w:sig w:usb0="00000287" w:usb1="00000800" w:usb2="00000000" w:usb3="00000000" w:csb0="2000009F" w:csb1="DFD70000"/>
    <w:embedRegular r:id="rId4" w:fontKey="{F36056E1-9F96-4103-B1FA-D8BB2B34A9F0}"/>
  </w:font>
  <w:font w:name="仿宋">
    <w:panose1 w:val="02010609060101010101"/>
    <w:charset w:val="86"/>
    <w:family w:val="auto"/>
    <w:pitch w:val="default"/>
    <w:sig w:usb0="800002BF" w:usb1="38CF7CFA" w:usb2="00000016" w:usb3="00000000" w:csb0="00040001" w:csb1="00000000"/>
    <w:embedRegular r:id="rId5" w:fontKey="{7037F786-E72E-4A45-B62D-4062A14D3B41}"/>
  </w:font>
  <w:font w:name="方正楷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Arial Rounded MT Bold">
    <w:panose1 w:val="020F07040305040302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9E79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38114">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638114">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FDDEA8"/>
    <w:rsid w:val="000E109C"/>
    <w:rsid w:val="000E3FC3"/>
    <w:rsid w:val="00147F5C"/>
    <w:rsid w:val="00D2790D"/>
    <w:rsid w:val="00DC44FF"/>
    <w:rsid w:val="01185DD5"/>
    <w:rsid w:val="01814321"/>
    <w:rsid w:val="01D41E6A"/>
    <w:rsid w:val="025739FF"/>
    <w:rsid w:val="025A7081"/>
    <w:rsid w:val="03A32C74"/>
    <w:rsid w:val="04D57FCB"/>
    <w:rsid w:val="051608C7"/>
    <w:rsid w:val="05740424"/>
    <w:rsid w:val="060A2B37"/>
    <w:rsid w:val="061E4834"/>
    <w:rsid w:val="065B3392"/>
    <w:rsid w:val="06CC603E"/>
    <w:rsid w:val="06E67100"/>
    <w:rsid w:val="06F339AF"/>
    <w:rsid w:val="077E1A2E"/>
    <w:rsid w:val="080261BB"/>
    <w:rsid w:val="08403084"/>
    <w:rsid w:val="09AC5758"/>
    <w:rsid w:val="09F511A3"/>
    <w:rsid w:val="0A30445B"/>
    <w:rsid w:val="0AAA48E8"/>
    <w:rsid w:val="0B0C10FF"/>
    <w:rsid w:val="0B745622"/>
    <w:rsid w:val="0E321C00"/>
    <w:rsid w:val="0E7E2314"/>
    <w:rsid w:val="0F1564E8"/>
    <w:rsid w:val="0F3D0BE6"/>
    <w:rsid w:val="1053332C"/>
    <w:rsid w:val="10D80401"/>
    <w:rsid w:val="116E041E"/>
    <w:rsid w:val="12031173"/>
    <w:rsid w:val="125A606E"/>
    <w:rsid w:val="12746B75"/>
    <w:rsid w:val="12BC536A"/>
    <w:rsid w:val="12E941CE"/>
    <w:rsid w:val="13405DEA"/>
    <w:rsid w:val="136746BD"/>
    <w:rsid w:val="13DE4D62"/>
    <w:rsid w:val="1414496C"/>
    <w:rsid w:val="148D1503"/>
    <w:rsid w:val="154F6567"/>
    <w:rsid w:val="15915022"/>
    <w:rsid w:val="161D3022"/>
    <w:rsid w:val="16721071"/>
    <w:rsid w:val="16842491"/>
    <w:rsid w:val="16967A65"/>
    <w:rsid w:val="17214655"/>
    <w:rsid w:val="17A315CA"/>
    <w:rsid w:val="17E21B65"/>
    <w:rsid w:val="182F467F"/>
    <w:rsid w:val="18636BC3"/>
    <w:rsid w:val="18A137CE"/>
    <w:rsid w:val="194B54E8"/>
    <w:rsid w:val="19B73CA4"/>
    <w:rsid w:val="1A846A45"/>
    <w:rsid w:val="1B395F40"/>
    <w:rsid w:val="1BA6544E"/>
    <w:rsid w:val="1BCC77EF"/>
    <w:rsid w:val="1BE038A2"/>
    <w:rsid w:val="1BF47218"/>
    <w:rsid w:val="1C0D4CD7"/>
    <w:rsid w:val="1C34278F"/>
    <w:rsid w:val="1C522367"/>
    <w:rsid w:val="1DAD574A"/>
    <w:rsid w:val="1E0968DC"/>
    <w:rsid w:val="1E214A6A"/>
    <w:rsid w:val="1F132604"/>
    <w:rsid w:val="1F6E3D01"/>
    <w:rsid w:val="201C64D6"/>
    <w:rsid w:val="20895274"/>
    <w:rsid w:val="20EA3839"/>
    <w:rsid w:val="21703D3E"/>
    <w:rsid w:val="21731A80"/>
    <w:rsid w:val="220B1A78"/>
    <w:rsid w:val="226017EC"/>
    <w:rsid w:val="229814B2"/>
    <w:rsid w:val="23155C94"/>
    <w:rsid w:val="23447230"/>
    <w:rsid w:val="23EA026F"/>
    <w:rsid w:val="24101808"/>
    <w:rsid w:val="243472A5"/>
    <w:rsid w:val="24577437"/>
    <w:rsid w:val="24777C37"/>
    <w:rsid w:val="248747E5"/>
    <w:rsid w:val="248D632C"/>
    <w:rsid w:val="24AA7567"/>
    <w:rsid w:val="24B85AC3"/>
    <w:rsid w:val="24BF073D"/>
    <w:rsid w:val="24DE2824"/>
    <w:rsid w:val="24EA02AB"/>
    <w:rsid w:val="257F0BE7"/>
    <w:rsid w:val="25853B30"/>
    <w:rsid w:val="25C32FD6"/>
    <w:rsid w:val="263E08AF"/>
    <w:rsid w:val="26CF3B03"/>
    <w:rsid w:val="272924A0"/>
    <w:rsid w:val="27556A40"/>
    <w:rsid w:val="27932534"/>
    <w:rsid w:val="288602EB"/>
    <w:rsid w:val="294F52EC"/>
    <w:rsid w:val="2A8B1BE9"/>
    <w:rsid w:val="2B1512AC"/>
    <w:rsid w:val="2B1C6CE5"/>
    <w:rsid w:val="2BFF10B2"/>
    <w:rsid w:val="2C464019"/>
    <w:rsid w:val="2C63688F"/>
    <w:rsid w:val="2D202ABC"/>
    <w:rsid w:val="2D3C71CA"/>
    <w:rsid w:val="2D4F15F3"/>
    <w:rsid w:val="2DB72CF5"/>
    <w:rsid w:val="2EA56349"/>
    <w:rsid w:val="2F191EB9"/>
    <w:rsid w:val="2F6704D8"/>
    <w:rsid w:val="2FA76CF8"/>
    <w:rsid w:val="30B05F05"/>
    <w:rsid w:val="30EB33E1"/>
    <w:rsid w:val="31961AB9"/>
    <w:rsid w:val="322D5B11"/>
    <w:rsid w:val="326F248B"/>
    <w:rsid w:val="32E13A5F"/>
    <w:rsid w:val="33310A59"/>
    <w:rsid w:val="33945FB2"/>
    <w:rsid w:val="34DA2504"/>
    <w:rsid w:val="34DF5A9B"/>
    <w:rsid w:val="34E55713"/>
    <w:rsid w:val="34F66E82"/>
    <w:rsid w:val="35260E8C"/>
    <w:rsid w:val="35316DC6"/>
    <w:rsid w:val="35340B6D"/>
    <w:rsid w:val="36963DEF"/>
    <w:rsid w:val="3760498F"/>
    <w:rsid w:val="37753A04"/>
    <w:rsid w:val="37C36E66"/>
    <w:rsid w:val="37DA693D"/>
    <w:rsid w:val="38033706"/>
    <w:rsid w:val="3809239F"/>
    <w:rsid w:val="38193C21"/>
    <w:rsid w:val="38230A0A"/>
    <w:rsid w:val="384F2E83"/>
    <w:rsid w:val="387A27CB"/>
    <w:rsid w:val="38E4576D"/>
    <w:rsid w:val="38F82B3F"/>
    <w:rsid w:val="38FA68B7"/>
    <w:rsid w:val="39186D3D"/>
    <w:rsid w:val="392C1EBE"/>
    <w:rsid w:val="39785A2E"/>
    <w:rsid w:val="39916AF0"/>
    <w:rsid w:val="3AA84186"/>
    <w:rsid w:val="3B08397A"/>
    <w:rsid w:val="3B1548ED"/>
    <w:rsid w:val="3B183024"/>
    <w:rsid w:val="3B313993"/>
    <w:rsid w:val="3B32464C"/>
    <w:rsid w:val="3B555854"/>
    <w:rsid w:val="3B742FF2"/>
    <w:rsid w:val="3CBE19AA"/>
    <w:rsid w:val="3D2A075C"/>
    <w:rsid w:val="3D3D75CD"/>
    <w:rsid w:val="3DB69014"/>
    <w:rsid w:val="3E0B6E71"/>
    <w:rsid w:val="3E9E05F6"/>
    <w:rsid w:val="3EA42E21"/>
    <w:rsid w:val="3EAC4D07"/>
    <w:rsid w:val="3EB07BCA"/>
    <w:rsid w:val="3EBB3C2C"/>
    <w:rsid w:val="4020211B"/>
    <w:rsid w:val="406311E6"/>
    <w:rsid w:val="40A56901"/>
    <w:rsid w:val="40C94DC1"/>
    <w:rsid w:val="41210759"/>
    <w:rsid w:val="413401E0"/>
    <w:rsid w:val="41807B75"/>
    <w:rsid w:val="41C32C15"/>
    <w:rsid w:val="41F41B6C"/>
    <w:rsid w:val="42944EE1"/>
    <w:rsid w:val="42C121F4"/>
    <w:rsid w:val="435412BA"/>
    <w:rsid w:val="44305883"/>
    <w:rsid w:val="444A5137"/>
    <w:rsid w:val="44586A79"/>
    <w:rsid w:val="447B1A37"/>
    <w:rsid w:val="44ED3CA5"/>
    <w:rsid w:val="453FE1D3"/>
    <w:rsid w:val="45435DD6"/>
    <w:rsid w:val="456D6663"/>
    <w:rsid w:val="45953746"/>
    <w:rsid w:val="45B1654F"/>
    <w:rsid w:val="45CE26E6"/>
    <w:rsid w:val="45FA0381"/>
    <w:rsid w:val="46376DC6"/>
    <w:rsid w:val="4647240E"/>
    <w:rsid w:val="465257D6"/>
    <w:rsid w:val="48570968"/>
    <w:rsid w:val="48B00D40"/>
    <w:rsid w:val="490948F4"/>
    <w:rsid w:val="493B7D23"/>
    <w:rsid w:val="49B65AB5"/>
    <w:rsid w:val="49C125FD"/>
    <w:rsid w:val="49E3578C"/>
    <w:rsid w:val="4A0C4481"/>
    <w:rsid w:val="4B047121"/>
    <w:rsid w:val="4C1559E9"/>
    <w:rsid w:val="4C2A0B13"/>
    <w:rsid w:val="4C3E2AF8"/>
    <w:rsid w:val="4C49016B"/>
    <w:rsid w:val="4C4A5008"/>
    <w:rsid w:val="4DBC1F59"/>
    <w:rsid w:val="4DC42B98"/>
    <w:rsid w:val="4E105DDD"/>
    <w:rsid w:val="4E811169"/>
    <w:rsid w:val="4E9904C8"/>
    <w:rsid w:val="4EA330F5"/>
    <w:rsid w:val="4FB302A5"/>
    <w:rsid w:val="4FDA48F5"/>
    <w:rsid w:val="505A4657"/>
    <w:rsid w:val="50C14805"/>
    <w:rsid w:val="50C235B3"/>
    <w:rsid w:val="50DC644B"/>
    <w:rsid w:val="51B65454"/>
    <w:rsid w:val="52081A25"/>
    <w:rsid w:val="52960822"/>
    <w:rsid w:val="52DF683D"/>
    <w:rsid w:val="53057EDB"/>
    <w:rsid w:val="53074F08"/>
    <w:rsid w:val="5377716C"/>
    <w:rsid w:val="539F21DB"/>
    <w:rsid w:val="540A3D6B"/>
    <w:rsid w:val="542C4FC6"/>
    <w:rsid w:val="5442626B"/>
    <w:rsid w:val="54BE5DF6"/>
    <w:rsid w:val="552C47D7"/>
    <w:rsid w:val="553A258C"/>
    <w:rsid w:val="55E34CE0"/>
    <w:rsid w:val="57545875"/>
    <w:rsid w:val="58231D4E"/>
    <w:rsid w:val="590F1AB3"/>
    <w:rsid w:val="59417793"/>
    <w:rsid w:val="59F66BB0"/>
    <w:rsid w:val="5A166E71"/>
    <w:rsid w:val="5A1F42AC"/>
    <w:rsid w:val="5A995E18"/>
    <w:rsid w:val="5ABE2890"/>
    <w:rsid w:val="5B5063B8"/>
    <w:rsid w:val="5B685976"/>
    <w:rsid w:val="5B9242D5"/>
    <w:rsid w:val="5C2A2760"/>
    <w:rsid w:val="5C5F6694"/>
    <w:rsid w:val="5DED0D3E"/>
    <w:rsid w:val="5EB36A3D"/>
    <w:rsid w:val="5EBB4CF3"/>
    <w:rsid w:val="5EFC6636"/>
    <w:rsid w:val="5FDE5D3B"/>
    <w:rsid w:val="601479AF"/>
    <w:rsid w:val="612C5D46"/>
    <w:rsid w:val="619960CB"/>
    <w:rsid w:val="622D4D58"/>
    <w:rsid w:val="623616DF"/>
    <w:rsid w:val="624B5592"/>
    <w:rsid w:val="6280132C"/>
    <w:rsid w:val="62F7FF0E"/>
    <w:rsid w:val="630A6E47"/>
    <w:rsid w:val="630B6758"/>
    <w:rsid w:val="64487C27"/>
    <w:rsid w:val="64A5151D"/>
    <w:rsid w:val="6589396E"/>
    <w:rsid w:val="65BF03BD"/>
    <w:rsid w:val="665E7240"/>
    <w:rsid w:val="667747F4"/>
    <w:rsid w:val="66882EA5"/>
    <w:rsid w:val="66976C44"/>
    <w:rsid w:val="669C425A"/>
    <w:rsid w:val="66AD6467"/>
    <w:rsid w:val="66BF23A1"/>
    <w:rsid w:val="67386679"/>
    <w:rsid w:val="6784541A"/>
    <w:rsid w:val="68262975"/>
    <w:rsid w:val="689478DF"/>
    <w:rsid w:val="69F1FDAD"/>
    <w:rsid w:val="69F2C430"/>
    <w:rsid w:val="6A281E10"/>
    <w:rsid w:val="6AB853DB"/>
    <w:rsid w:val="6AC05EC9"/>
    <w:rsid w:val="6AF705F9"/>
    <w:rsid w:val="6BAC4FC3"/>
    <w:rsid w:val="6CA77F9A"/>
    <w:rsid w:val="6CD97293"/>
    <w:rsid w:val="6CFDF69F"/>
    <w:rsid w:val="6D010AA4"/>
    <w:rsid w:val="6D8563D9"/>
    <w:rsid w:val="6D8E05A2"/>
    <w:rsid w:val="6E34121C"/>
    <w:rsid w:val="6E686F42"/>
    <w:rsid w:val="6F6C08B9"/>
    <w:rsid w:val="6FA10B33"/>
    <w:rsid w:val="6FFE7430"/>
    <w:rsid w:val="70076BE8"/>
    <w:rsid w:val="701700C9"/>
    <w:rsid w:val="70DA277A"/>
    <w:rsid w:val="717A163C"/>
    <w:rsid w:val="71B7463E"/>
    <w:rsid w:val="721603A9"/>
    <w:rsid w:val="72365481"/>
    <w:rsid w:val="72521C52"/>
    <w:rsid w:val="726154A4"/>
    <w:rsid w:val="726C5429"/>
    <w:rsid w:val="726E73F3"/>
    <w:rsid w:val="73082E60"/>
    <w:rsid w:val="73B44AF9"/>
    <w:rsid w:val="73F590F6"/>
    <w:rsid w:val="74AE0965"/>
    <w:rsid w:val="7620741F"/>
    <w:rsid w:val="766C6ACA"/>
    <w:rsid w:val="7698015D"/>
    <w:rsid w:val="779B7915"/>
    <w:rsid w:val="77BB0319"/>
    <w:rsid w:val="77BFA300"/>
    <w:rsid w:val="77C15CBD"/>
    <w:rsid w:val="77FF7690"/>
    <w:rsid w:val="782E08EF"/>
    <w:rsid w:val="78413275"/>
    <w:rsid w:val="787E7834"/>
    <w:rsid w:val="78A27DF6"/>
    <w:rsid w:val="79154B12"/>
    <w:rsid w:val="792B1434"/>
    <w:rsid w:val="794D105F"/>
    <w:rsid w:val="79682D81"/>
    <w:rsid w:val="7A223434"/>
    <w:rsid w:val="7A27753D"/>
    <w:rsid w:val="7A617BD2"/>
    <w:rsid w:val="7A6F7B00"/>
    <w:rsid w:val="7AB45BBF"/>
    <w:rsid w:val="7ABB32ED"/>
    <w:rsid w:val="7AC31D71"/>
    <w:rsid w:val="7AD87AFF"/>
    <w:rsid w:val="7BB045D8"/>
    <w:rsid w:val="7BDCCD53"/>
    <w:rsid w:val="7C9537CE"/>
    <w:rsid w:val="7CA9143D"/>
    <w:rsid w:val="7CDC8239"/>
    <w:rsid w:val="7CF343A1"/>
    <w:rsid w:val="7D0001B6"/>
    <w:rsid w:val="7D1D21D9"/>
    <w:rsid w:val="7D2633FD"/>
    <w:rsid w:val="7DAE4B47"/>
    <w:rsid w:val="7E9B20A0"/>
    <w:rsid w:val="7EAFE98A"/>
    <w:rsid w:val="7EDB3D14"/>
    <w:rsid w:val="7EEB6D36"/>
    <w:rsid w:val="7F4A0FC0"/>
    <w:rsid w:val="BEFE7D89"/>
    <w:rsid w:val="D9BEC39A"/>
    <w:rsid w:val="EBFE5762"/>
    <w:rsid w:val="F3B7678B"/>
    <w:rsid w:val="FDFDDEA8"/>
    <w:rsid w:val="FF5FC28A"/>
    <w:rsid w:val="FF7F28DC"/>
    <w:rsid w:val="FFD7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napToGrid w:val="0"/>
      <w:spacing w:line="480" w:lineRule="exact"/>
      <w:jc w:val="left"/>
      <w:outlineLvl w:val="0"/>
    </w:pPr>
    <w:rPr>
      <w:rFonts w:ascii="Times New Roman" w:hAnsi="Times New Roman" w:eastAsia="方正小标宋_GBK"/>
      <w:b/>
      <w:kern w:val="44"/>
      <w:sz w:val="32"/>
    </w:rPr>
  </w:style>
  <w:style w:type="paragraph" w:styleId="2">
    <w:name w:val="heading 3"/>
    <w:basedOn w:val="1"/>
    <w:next w:val="1"/>
    <w:qFormat/>
    <w:uiPriority w:val="0"/>
    <w:pPr>
      <w:keepNext/>
      <w:keepLines/>
      <w:spacing w:line="416" w:lineRule="auto"/>
      <w:outlineLvl w:val="2"/>
    </w:pPr>
    <w:rPr>
      <w:b/>
      <w:bCs/>
      <w:sz w:val="32"/>
      <w:szCs w:val="32"/>
    </w:rPr>
  </w:style>
  <w:style w:type="paragraph" w:styleId="4">
    <w:name w:val="heading 4"/>
    <w:basedOn w:val="1"/>
    <w:next w:val="1"/>
    <w:unhideWhenUsed/>
    <w:qFormat/>
    <w:uiPriority w:val="9"/>
    <w:pPr>
      <w:keepNext/>
      <w:keepLines/>
      <w:outlineLvl w:val="3"/>
    </w:pPr>
    <w:rPr>
      <w:rFonts w:asciiTheme="majorHAnsi" w:hAnsiTheme="majorHAnsi" w:cstheme="majorBidi"/>
      <w:b/>
      <w:bCs/>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rFonts w:hint="eastAsia"/>
    </w:rPr>
  </w:style>
  <w:style w:type="paragraph" w:styleId="7">
    <w:name w:val="Body Text Indent"/>
    <w:basedOn w:val="1"/>
    <w:qFormat/>
    <w:uiPriority w:val="0"/>
    <w:pPr>
      <w:spacing w:line="360" w:lineRule="auto"/>
      <w:ind w:firstLine="480" w:firstLineChars="200"/>
      <w:jc w:val="left"/>
    </w:pPr>
    <w:rPr>
      <w:rFonts w:ascii="宋体" w:hAnsi="宋体"/>
      <w:kern w:val="0"/>
      <w:sz w:val="24"/>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qFormat/>
    <w:uiPriority w:val="10"/>
    <w:pPr>
      <w:spacing w:before="240" w:after="60"/>
      <w:jc w:val="center"/>
      <w:outlineLvl w:val="0"/>
    </w:pPr>
    <w:rPr>
      <w:rFonts w:ascii="Cambria" w:hAnsi="Cambria"/>
      <w:b/>
      <w:bCs/>
      <w:sz w:val="32"/>
      <w:szCs w:val="32"/>
    </w:rPr>
  </w:style>
  <w:style w:type="paragraph" w:styleId="13">
    <w:name w:val="Body Text First Indent 2"/>
    <w:basedOn w:val="7"/>
    <w:qFormat/>
    <w:uiPriority w:val="0"/>
    <w:pPr>
      <w:ind w:firstLine="420"/>
    </w:pPr>
  </w:style>
  <w:style w:type="character" w:styleId="16">
    <w:name w:val="Hyperlink"/>
    <w:unhideWhenUsed/>
    <w:uiPriority w:val="99"/>
    <w:rPr>
      <w:color w:val="0563C1"/>
      <w:u w:val="single"/>
    </w:rPr>
  </w:style>
  <w:style w:type="paragraph" w:customStyle="1" w:styleId="17">
    <w:name w:val="公文"/>
    <w:basedOn w:val="1"/>
    <w:link w:val="28"/>
    <w:qFormat/>
    <w:uiPriority w:val="0"/>
    <w:pPr>
      <w:ind w:firstLine="614" w:firstLineChars="200"/>
    </w:pPr>
    <w:rPr>
      <w:rFonts w:hint="eastAsia" w:ascii="Arial Narrow" w:hAnsi="Arial Narrow" w:eastAsia="仿宋_GB2312" w:cs="仿宋"/>
      <w:kern w:val="0"/>
      <w:sz w:val="32"/>
      <w:szCs w:val="32"/>
    </w:rPr>
  </w:style>
  <w:style w:type="paragraph" w:customStyle="1" w:styleId="18">
    <w:name w:val="公文楷体（一）"/>
    <w:basedOn w:val="1"/>
    <w:link w:val="27"/>
    <w:qFormat/>
    <w:uiPriority w:val="0"/>
    <w:pPr>
      <w:ind w:firstLine="640" w:firstLineChars="200"/>
    </w:pPr>
    <w:rPr>
      <w:rFonts w:hint="eastAsia" w:ascii="Arial Narrow" w:hAnsi="Arial Narrow" w:eastAsia="方正楷体_GBK" w:cs="方正楷体_GBK"/>
      <w:b/>
      <w:bCs/>
      <w:sz w:val="32"/>
      <w:szCs w:val="32"/>
    </w:rPr>
  </w:style>
  <w:style w:type="paragraph" w:customStyle="1" w:styleId="19">
    <w:name w:val="公文黑体 一"/>
    <w:basedOn w:val="1"/>
    <w:qFormat/>
    <w:uiPriority w:val="0"/>
    <w:pPr>
      <w:ind w:firstLine="640" w:firstLineChars="200"/>
    </w:pPr>
    <w:rPr>
      <w:rFonts w:hint="eastAsia" w:ascii="Arial Narrow" w:hAnsi="Arial Narrow" w:eastAsia="黑体" w:cs="黑体"/>
      <w:sz w:val="32"/>
      <w:szCs w:val="32"/>
    </w:rPr>
  </w:style>
  <w:style w:type="paragraph" w:customStyle="1" w:styleId="20">
    <w:name w:val="公文标题"/>
    <w:basedOn w:val="1"/>
    <w:qFormat/>
    <w:uiPriority w:val="0"/>
    <w:pPr>
      <w:jc w:val="center"/>
    </w:pPr>
    <w:rPr>
      <w:rFonts w:hint="eastAsia" w:ascii="Arial Narrow" w:hAnsi="Arial Narrow" w:eastAsia="方正小标宋_GBK" w:cs="黑体"/>
      <w:b/>
      <w:sz w:val="44"/>
      <w:szCs w:val="32"/>
    </w:rPr>
  </w:style>
  <w:style w:type="paragraph" w:customStyle="1" w:styleId="21">
    <w:name w:val="公文小标题 1."/>
    <w:next w:val="17"/>
    <w:link w:val="25"/>
    <w:qFormat/>
    <w:uiPriority w:val="0"/>
    <w:pPr>
      <w:ind w:firstLine="640" w:firstLineChars="200"/>
    </w:pPr>
    <w:rPr>
      <w:rFonts w:hint="eastAsia" w:ascii="Arial Narrow" w:hAnsi="Arial Narrow" w:eastAsia="仿宋_GB2312" w:cs="黑体"/>
      <w:b/>
      <w:sz w:val="32"/>
      <w:szCs w:val="32"/>
      <w:lang w:val="en-US" w:eastAsia="zh-CN" w:bidi="ar-SA"/>
    </w:rPr>
  </w:style>
  <w:style w:type="paragraph" w:customStyle="1" w:styleId="22">
    <w:name w:val="附件"/>
    <w:basedOn w:val="1"/>
    <w:link w:val="29"/>
    <w:qFormat/>
    <w:uiPriority w:val="0"/>
    <w:pPr>
      <w:jc w:val="left"/>
    </w:pPr>
    <w:rPr>
      <w:rFonts w:hint="eastAsia" w:ascii="黑体" w:hAnsi="黑体" w:eastAsia="黑体" w:cs="黑体"/>
      <w:bCs/>
      <w:sz w:val="32"/>
      <w:szCs w:val="32"/>
    </w:rPr>
  </w:style>
  <w:style w:type="paragraph" w:customStyle="1" w:styleId="23">
    <w:name w:val="Body Text First Indent 21"/>
    <w:basedOn w:val="24"/>
    <w:qFormat/>
    <w:uiPriority w:val="0"/>
    <w:pPr>
      <w:ind w:firstLine="420"/>
    </w:pPr>
    <w:rPr>
      <w:rFonts w:ascii="Calibri" w:hAnsi="Calibri"/>
    </w:rPr>
  </w:style>
  <w:style w:type="paragraph" w:customStyle="1" w:styleId="24">
    <w:name w:val="Body Text Indent1"/>
    <w:basedOn w:val="1"/>
    <w:qFormat/>
    <w:uiPriority w:val="0"/>
    <w:pPr>
      <w:spacing w:line="500" w:lineRule="exact"/>
      <w:ind w:firstLine="880" w:firstLineChars="200"/>
    </w:pPr>
    <w:rPr>
      <w:rFonts w:ascii="Times New Roman" w:hAnsi="Times New Roman"/>
    </w:rPr>
  </w:style>
  <w:style w:type="character" w:customStyle="1" w:styleId="25">
    <w:name w:val="公文小标题 1. Char"/>
    <w:link w:val="21"/>
    <w:qFormat/>
    <w:uiPriority w:val="0"/>
    <w:rPr>
      <w:rFonts w:hint="eastAsia" w:ascii="Arial Narrow" w:hAnsi="Arial Narrow" w:eastAsia="仿宋_GB2312" w:cs="黑体"/>
      <w:b/>
      <w:sz w:val="32"/>
      <w:szCs w:val="32"/>
    </w:rPr>
  </w:style>
  <w:style w:type="paragraph" w:customStyle="1" w:styleId="26">
    <w:name w:val="三级1"/>
    <w:next w:val="12"/>
    <w:qFormat/>
    <w:uiPriority w:val="0"/>
    <w:pPr>
      <w:tabs>
        <w:tab w:val="left" w:pos="2422"/>
      </w:tabs>
      <w:ind w:left="2422" w:hanging="720"/>
    </w:pPr>
    <w:rPr>
      <w:rFonts w:hint="eastAsia" w:ascii="宋体" w:hAnsi="宋体" w:eastAsia="宋体" w:cs="Times New Roman"/>
      <w:spacing w:val="10"/>
      <w:sz w:val="32"/>
      <w:lang w:val="en-US" w:eastAsia="zh-CN" w:bidi="ar-SA"/>
    </w:rPr>
  </w:style>
  <w:style w:type="character" w:customStyle="1" w:styleId="27">
    <w:name w:val="公文楷体（一） Char"/>
    <w:link w:val="18"/>
    <w:qFormat/>
    <w:uiPriority w:val="0"/>
    <w:rPr>
      <w:rFonts w:hint="eastAsia" w:ascii="Arial Narrow" w:hAnsi="Arial Narrow" w:eastAsia="方正楷体_GBK" w:cs="方正楷体_GBK"/>
      <w:b/>
      <w:bCs/>
      <w:sz w:val="32"/>
      <w:szCs w:val="32"/>
    </w:rPr>
  </w:style>
  <w:style w:type="character" w:customStyle="1" w:styleId="28">
    <w:name w:val="公文 Char1"/>
    <w:link w:val="17"/>
    <w:qFormat/>
    <w:uiPriority w:val="0"/>
    <w:rPr>
      <w:rFonts w:hint="eastAsia" w:ascii="Arial Narrow" w:hAnsi="Arial Narrow" w:eastAsia="仿宋_GB2312" w:cs="仿宋"/>
      <w:kern w:val="0"/>
      <w:sz w:val="32"/>
      <w:szCs w:val="32"/>
    </w:rPr>
  </w:style>
  <w:style w:type="character" w:customStyle="1" w:styleId="29">
    <w:name w:val="附件 Char"/>
    <w:link w:val="22"/>
    <w:qFormat/>
    <w:uiPriority w:val="0"/>
    <w:rPr>
      <w:rFonts w:hint="eastAsia" w:ascii="黑体" w:hAnsi="黑体" w:eastAsia="黑体" w:cs="黑体"/>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11</Pages>
  <Words>4275</Words>
  <Characters>102</Characters>
  <Lines>1</Lines>
  <Paragraphs>8</Paragraphs>
  <TotalTime>6</TotalTime>
  <ScaleCrop>false</ScaleCrop>
  <LinksUpToDate>false</LinksUpToDate>
  <CharactersWithSpaces>4369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2025-07-16T19:14:00Z</dcterms:created>
  <dc:creator>周欢</dc:creator>
  <cp:lastModifiedBy>admin</cp:lastModifiedBy>
  <cp:lastPrinted>2025-10-25T11:16:00Z</cp:lastPrinted>
  <dcterms:modified xsi:type="dcterms:W3CDTF">2026-07-29T07:30:21Z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117C7230C56D5B6BF7457F680D211713_43</vt:lpwstr>
  </property>
  <property fmtid="{D5CDD505-2E9C-101B-9397-08002B2CF9AE}" pid="4" name="KSOTemplateDocerSaveRecord">
    <vt:lpwstr>eyJoZGlkIjoiNGU2MzJkYzU4MzRmM2ZmYzMzMjk2OTE5Y2U4ZDIxZWIiLCJ1c2VySWQiOiI2NTc2MTI5ODYifQ==</vt:lpwstr>
  </property>
</Properties>
</file>