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cs="仿宋" w:asciiTheme="minorEastAsia" w:hAnsiTheme="minorEastAsia"/>
        </w:rPr>
      </w:pPr>
      <w:r>
        <w:rPr>
          <w:rFonts w:hint="eastAsia" w:cs="仿宋" w:asciiTheme="minorEastAsia" w:hAnsiTheme="minorEastAsia"/>
        </w:rPr>
        <w:t>尊敬的客户：</w:t>
      </w:r>
    </w:p>
    <w:p>
      <w:pPr>
        <w:ind w:firstLine="420"/>
        <w:rPr>
          <w:rFonts w:hint="eastAsia" w:cs="仿宋" w:asciiTheme="minorEastAsia" w:hAnsiTheme="minorEastAsia"/>
        </w:rPr>
      </w:pPr>
      <w:r>
        <w:rPr>
          <w:rFonts w:hint="eastAsia" w:cs="仿宋" w:asciiTheme="minorEastAsia" w:hAnsiTheme="minorEastAsia"/>
        </w:rPr>
        <w:t>我行决定对芙蓉宝净值型人民币理财产品（产品登记编码：C1114719000003）（产品代码【B19000101X】）</w:t>
      </w:r>
      <w:r>
        <w:rPr>
          <w:rFonts w:hint="eastAsia" w:cs="仿宋" w:asciiTheme="minorEastAsia" w:hAnsiTheme="minorEastAsia"/>
          <w:lang w:eastAsia="zh-CN"/>
        </w:rPr>
        <w:t>、</w:t>
      </w:r>
      <w:r>
        <w:rPr>
          <w:rFonts w:hint="eastAsia" w:cs="仿宋" w:asciiTheme="minorEastAsia" w:hAnsiTheme="minorEastAsia"/>
        </w:rPr>
        <w:t>芙蓉·长红净值型人民币理财产品（产品登记编码：C1114720000001）（产品代码【C20000101X】）、芙蓉·周周发净值型人民币理财产品（产品登记编码：C1114721000006）A类份额（产品代码【Z210Q0101】）、B类份额（产品代码【Z210Q0101B】）产品要素进行调整，具体内容如下：</w:t>
      </w:r>
    </w:p>
    <w:p>
      <w:pPr>
        <w:numPr>
          <w:ilvl w:val="0"/>
          <w:numId w:val="1"/>
        </w:numPr>
        <w:ind w:firstLine="422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芙蓉</w:t>
      </w:r>
      <w:r>
        <w:rPr>
          <w:rFonts w:hint="eastAsia"/>
          <w:b/>
          <w:bCs/>
          <w:lang w:val="en-US" w:eastAsia="zh-CN"/>
        </w:rPr>
        <w:t>宝</w:t>
      </w:r>
      <w:r>
        <w:rPr>
          <w:rFonts w:hint="eastAsia"/>
          <w:b/>
          <w:bCs/>
        </w:rPr>
        <w:t>净值型人民币理财产品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变更前：</w:t>
      </w:r>
    </w:p>
    <w:tbl>
      <w:tblPr>
        <w:tblStyle w:val="5"/>
        <w:tblW w:w="8766" w:type="dxa"/>
        <w:tblInd w:w="5" w:type="dxa"/>
        <w:tblBorders>
          <w:top w:val="single" w:color="ECE9D8" w:sz="4" w:space="0"/>
          <w:left w:val="single" w:color="ECE9D8" w:sz="4" w:space="0"/>
          <w:bottom w:val="single" w:color="ECE9D8" w:sz="4" w:space="0"/>
          <w:right w:val="single" w:color="ECE9D8" w:sz="4" w:space="0"/>
          <w:insideH w:val="single" w:color="ECE9D8" w:sz="4" w:space="0"/>
          <w:insideV w:val="single" w:color="ECE9D8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2"/>
        <w:gridCol w:w="7354"/>
      </w:tblGrid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46" w:line="232" w:lineRule="auto"/>
              <w:jc w:val="center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年化业绩比较基准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both"/>
              <w:textAlignment w:val="baseline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>年化业绩比较基准（</w:t>
            </w:r>
            <w:r>
              <w:rPr>
                <w:rFonts w:ascii="Times New Roman" w:hAnsi="Times New Roman" w:eastAsia="Times New Roman" w:cs="Times New Roman"/>
                <w:spacing w:val="6"/>
                <w:sz w:val="14"/>
                <w:szCs w:val="14"/>
                <w:lang w:eastAsia="zh-CN"/>
              </w:rPr>
              <w:t>r</w:t>
            </w:r>
            <w:r>
              <w:rPr>
                <w:rFonts w:ascii="Times New Roman" w:hAnsi="Times New Roman" w:eastAsia="Times New Roman" w:cs="Times New Roman"/>
                <w:spacing w:val="-14"/>
                <w:sz w:val="14"/>
                <w:szCs w:val="1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>）为</w:t>
            </w:r>
            <w:r>
              <w:rPr>
                <w:rFonts w:ascii="宋体" w:hAnsi="宋体" w:eastAsia="宋体" w:cs="宋体"/>
                <w:spacing w:val="-29"/>
                <w:sz w:val="14"/>
                <w:szCs w:val="1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spacing w:val="6"/>
                <w:sz w:val="14"/>
                <w:szCs w:val="14"/>
                <w:lang w:eastAsia="zh-CN"/>
              </w:rPr>
              <w:t>%</w:t>
            </w: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6"/>
                <w:sz w:val="14"/>
                <w:szCs w:val="14"/>
                <w:lang w:eastAsia="zh-CN"/>
              </w:rPr>
              <w:t>a)~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spacing w:val="5"/>
                <w:sz w:val="14"/>
                <w:szCs w:val="14"/>
                <w:lang w:eastAsia="zh-CN"/>
              </w:rPr>
              <w:t>%(b)</w:t>
            </w:r>
            <w:r>
              <w:rPr>
                <w:rFonts w:ascii="Times New Roman" w:hAnsi="Times New Roman" w:eastAsia="Times New Roman" w:cs="Times New Roman"/>
                <w:spacing w:val="-14"/>
                <w:sz w:val="14"/>
                <w:szCs w:val="1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4"/>
                <w:szCs w:val="14"/>
                <w:lang w:eastAsia="zh-CN"/>
              </w:rPr>
              <w:t>。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41" w:lineRule="auto"/>
              <w:rPr>
                <w:lang w:eastAsia="zh-CN"/>
              </w:rPr>
            </w:pPr>
          </w:p>
          <w:p>
            <w:pPr>
              <w:spacing w:before="46" w:line="232" w:lineRule="auto"/>
              <w:ind w:firstLine="156" w:firstLineChars="100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  <w:p>
            <w:pPr>
              <w:spacing w:before="46" w:line="232" w:lineRule="auto"/>
              <w:ind w:firstLine="156" w:firstLineChars="100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超额业绩报酬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本产品存续期间扣除产品托管费、固定管理费及相关税费后：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 xml:space="preserve">若当日的理财资金收益折合年化收益率 R 超过年化业绩比较基准 r 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下限a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（以最新公布的为准），则江阴农商银行有权按以下方式计提比例收取当日的超额业绩报酬：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超额业绩报酬计提比例公式：若a＜R≤b,则I= (R-a)*30%;若R＞b,则I=(b-a)*30%+(R-b)*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5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0%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其中，I 表示计提的超额业绩报酬比例。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江阴农商银行有权根据市场情况、产品运作情况对本产品的各项费用费率、年化业绩比较基准以及超额业绩报酬计提比例进行调整，并至少于调整日之前 2 个工作日进行公告，如客户不接受的，可按本产品说明书的约定赎回</w:t>
            </w:r>
            <w:r>
              <w:rPr>
                <w:rFonts w:ascii="宋体" w:hAnsi="宋体" w:eastAsia="宋体" w:cs="宋体"/>
                <w:spacing w:val="3"/>
                <w:sz w:val="14"/>
                <w:szCs w:val="14"/>
              </w:rPr>
              <w:t>产品。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spacing w:before="65" w:line="230" w:lineRule="auto"/>
              <w:ind w:left="44"/>
              <w:jc w:val="center"/>
              <w:rPr>
                <w:rFonts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  <w:t>理财相关费用及收费方式</w:t>
            </w:r>
          </w:p>
          <w:p>
            <w:pPr>
              <w:spacing w:before="46" w:line="232" w:lineRule="auto"/>
              <w:ind w:firstLine="156" w:firstLineChars="100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5.超额业绩报酬：本产品存续期间扣除产品托管费、 固定管理费及相关税费后，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若当日的理财资金收益折合年化收益率 R 超过年化业绩比较基准 r 下限a（以最新公布的为准），则江阴农商银行有权按以下方式计提比例收取当日的超额业绩报酬：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超额业绩报酬计提比例公式：若a＜R≤b,则I=(R-a)*30%;若R＞b,则I=(b-a)*30%+(R-b)*50%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其中，I表示计提的超额业绩报酬比例。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江阴农商银行有权根据市场情况、产品运作情况对本产品的各项费用费率、年化业绩比较基 准以及超额业绩报酬计提比例进行调整，并至少于调整日之前2个工作日进行公告，如客户 不接受的，可按本产品说明书的约定赎回产品。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</w:p>
        </w:tc>
      </w:tr>
    </w:tbl>
    <w:p>
      <w:pPr>
        <w:ind w:firstLine="420" w:firstLineChars="200"/>
        <w:rPr>
          <w:rFonts w:hint="eastAsia" w:cs="仿宋" w:asciiTheme="minorEastAsia" w:hAnsiTheme="minorEastAsia"/>
          <w:lang w:val="en-US" w:eastAsia="zh-CN"/>
        </w:rPr>
      </w:pPr>
      <w:r>
        <w:rPr>
          <w:rFonts w:hint="eastAsia" w:cs="仿宋" w:asciiTheme="minorEastAsia" w:hAnsiTheme="minorEastAsia"/>
          <w:lang w:val="en-US" w:eastAsia="zh-CN"/>
        </w:rPr>
        <w:t>变更后：</w:t>
      </w:r>
    </w:p>
    <w:tbl>
      <w:tblPr>
        <w:tblStyle w:val="5"/>
        <w:tblW w:w="8766" w:type="dxa"/>
        <w:tblInd w:w="5" w:type="dxa"/>
        <w:tblBorders>
          <w:top w:val="single" w:color="ECE9D8" w:sz="4" w:space="0"/>
          <w:left w:val="single" w:color="ECE9D8" w:sz="4" w:space="0"/>
          <w:bottom w:val="single" w:color="ECE9D8" w:sz="4" w:space="0"/>
          <w:right w:val="single" w:color="ECE9D8" w:sz="4" w:space="0"/>
          <w:insideH w:val="single" w:color="ECE9D8" w:sz="4" w:space="0"/>
          <w:insideV w:val="single" w:color="ECE9D8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2"/>
        <w:gridCol w:w="7354"/>
      </w:tblGrid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both"/>
              <w:textAlignment w:val="baseline"/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>年化业绩比较基准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both"/>
              <w:textAlignment w:val="baseline"/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 xml:space="preserve">年化业绩比较基准（r）为 </w:t>
            </w:r>
            <w:r>
              <w:rPr>
                <w:rFonts w:hint="eastAsia" w:ascii="宋体" w:hAnsi="宋体" w:eastAsia="宋体" w:cs="宋体"/>
                <w:spacing w:val="6"/>
                <w:sz w:val="14"/>
                <w:szCs w:val="14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pacing w:val="6"/>
                <w:sz w:val="14"/>
                <w:szCs w:val="1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pacing w:val="6"/>
                <w:sz w:val="14"/>
                <w:szCs w:val="14"/>
                <w:lang w:eastAsia="zh-CN"/>
              </w:rPr>
              <w:t>0</w:t>
            </w: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>%。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1" w:lineRule="auto"/>
              <w:jc w:val="center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14"/>
                <w:szCs w:val="14"/>
                <w:lang w:val="en-US" w:eastAsia="zh-CN"/>
              </w:rPr>
              <w:t>浮动管理费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本产品存续期间扣除产品托管费、固定管理费及相关税费后：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若当日的理财资金收益折合年化收益率 R 超过年化业绩比较基准 r （以最新公布的为准），则江阴农商银行有权按以下方式计提比例收取当日的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浮动管理费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浮动管理费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计提比例公式：若R＞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val="en-US" w:eastAsia="zh-CN"/>
              </w:rPr>
              <w:t>r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,则I=(R-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val="en-US" w:eastAsia="zh-CN"/>
              </w:rPr>
              <w:t>r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)*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val="en-US" w:eastAsia="zh-CN"/>
              </w:rPr>
              <w:t>8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0%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其中，I 表示计提的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浮动管理费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比例。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江阴农商银行有权根据市场情况、产品运作情况对本产品的各项费用费率、年化业绩比较基准以及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浮动管理费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计提比例进行调整，并至少于调整日之前 2 个工作日进行公告，如客户不接受的，可按本产品说明书的约定赎回产品。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spacing w:before="65" w:line="230" w:lineRule="auto"/>
              <w:ind w:left="44"/>
              <w:jc w:val="center"/>
              <w:rPr>
                <w:rFonts w:hint="eastAsia"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  <w:t>理财相关费用及收费方式</w:t>
            </w:r>
          </w:p>
          <w:p>
            <w:pPr>
              <w:spacing w:before="46" w:line="232" w:lineRule="auto"/>
              <w:ind w:firstLine="156" w:firstLineChars="100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5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val="en-US" w:eastAsia="zh-CN"/>
              </w:rPr>
              <w:t>浮动管理费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：本产品存续期间扣除产品托管费、 固定管理费及相关税费后，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若当日的理财资金收益折合年化收益率 R 超过年化业绩比较基准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r（以最新公布的为准），则江阴农商银行有权按以下方式计提比例收取当日的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浮动管理费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浮动管理费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计提比例公式：若R＞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val="en-US" w:eastAsia="zh-CN"/>
              </w:rPr>
              <w:t>r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,则I=(R-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val="en-US" w:eastAsia="zh-CN"/>
              </w:rPr>
              <w:t>r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)*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val="en-US" w:eastAsia="zh-CN"/>
              </w:rPr>
              <w:t>8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0%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其中，I表示计提的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浮动管理费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比例。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江阴农商银行有权根据市场情况、产品运作情况对本产品的各项费用费率、年化业绩比较基 准以及</w:t>
            </w:r>
            <w:r>
              <w:rPr>
                <w:rFonts w:hint="eastAsia"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浮动管理费</w:t>
            </w: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t>计提比例进行调整，并至少于调整日之前2个工作日进行公告，如客户 不接受的，可按本产品说明书的约定赎回产品。</w:t>
            </w:r>
          </w:p>
        </w:tc>
      </w:tr>
    </w:tbl>
    <w:p>
      <w:pPr>
        <w:ind w:firstLine="420" w:firstLineChars="200"/>
        <w:rPr>
          <w:rFonts w:hint="eastAsia"/>
          <w:lang w:val="en-US" w:eastAsia="zh-CN"/>
        </w:rPr>
      </w:pPr>
    </w:p>
    <w:p>
      <w:pPr>
        <w:ind w:firstLine="422" w:firstLineChars="200"/>
        <w:rPr>
          <w:b/>
          <w:bCs/>
        </w:rPr>
      </w:pPr>
      <w:r>
        <w:rPr>
          <w:rFonts w:hint="eastAsia"/>
          <w:b/>
          <w:bCs/>
          <w:lang w:val="en-US" w:eastAsia="zh-CN"/>
        </w:rPr>
        <w:t>2</w:t>
      </w:r>
      <w:r>
        <w:rPr>
          <w:rFonts w:hint="eastAsia"/>
          <w:b/>
          <w:bCs/>
        </w:rPr>
        <w:t>、芙蓉·长红净值型人民币理财产品</w:t>
      </w:r>
    </w:p>
    <w:p>
      <w:pPr>
        <w:numPr>
          <w:ilvl w:val="0"/>
          <w:numId w:val="0"/>
        </w:num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变更前：</w:t>
      </w:r>
    </w:p>
    <w:tbl>
      <w:tblPr>
        <w:tblStyle w:val="5"/>
        <w:tblW w:w="8766" w:type="dxa"/>
        <w:tblInd w:w="5" w:type="dxa"/>
        <w:tblBorders>
          <w:top w:val="single" w:color="ECE9D8" w:sz="4" w:space="0"/>
          <w:left w:val="single" w:color="ECE9D8" w:sz="4" w:space="0"/>
          <w:bottom w:val="single" w:color="ECE9D8" w:sz="4" w:space="0"/>
          <w:right w:val="single" w:color="ECE9D8" w:sz="4" w:space="0"/>
          <w:insideH w:val="single" w:color="ECE9D8" w:sz="4" w:space="0"/>
          <w:insideV w:val="single" w:color="ECE9D8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2"/>
        <w:gridCol w:w="7354"/>
      </w:tblGrid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46" w:line="232" w:lineRule="auto"/>
              <w:jc w:val="center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年化业绩比较基准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both"/>
              <w:textAlignment w:val="baseline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>年化业绩比较基准（</w:t>
            </w:r>
            <w:r>
              <w:rPr>
                <w:rFonts w:ascii="Times New Roman" w:hAnsi="Times New Roman" w:eastAsia="Times New Roman" w:cs="Times New Roman"/>
                <w:spacing w:val="6"/>
                <w:sz w:val="14"/>
                <w:szCs w:val="14"/>
                <w:lang w:eastAsia="zh-CN"/>
              </w:rPr>
              <w:t>r</w:t>
            </w:r>
            <w:r>
              <w:rPr>
                <w:rFonts w:ascii="Times New Roman" w:hAnsi="Times New Roman" w:eastAsia="Times New Roman" w:cs="Times New Roman"/>
                <w:spacing w:val="-14"/>
                <w:sz w:val="14"/>
                <w:szCs w:val="1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>）为</w:t>
            </w:r>
            <w:r>
              <w:rPr>
                <w:rFonts w:ascii="宋体" w:hAnsi="宋体" w:eastAsia="宋体" w:cs="宋体"/>
                <w:spacing w:val="-29"/>
                <w:sz w:val="14"/>
                <w:szCs w:val="1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eastAsia="zh-CN"/>
              </w:rPr>
              <w:t>0</w:t>
            </w:r>
            <w:r>
              <w:rPr>
                <w:rFonts w:ascii="Times New Roman" w:hAnsi="Times New Roman" w:eastAsia="Times New Roman" w:cs="Times New Roman"/>
                <w:spacing w:val="6"/>
                <w:sz w:val="14"/>
                <w:szCs w:val="14"/>
                <w:lang w:eastAsia="zh-CN"/>
              </w:rPr>
              <w:t>%</w:t>
            </w: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>（</w:t>
            </w:r>
            <w:r>
              <w:rPr>
                <w:rFonts w:ascii="Times New Roman" w:hAnsi="Times New Roman" w:eastAsia="Times New Roman" w:cs="Times New Roman"/>
                <w:spacing w:val="6"/>
                <w:sz w:val="14"/>
                <w:szCs w:val="14"/>
                <w:lang w:eastAsia="zh-CN"/>
              </w:rPr>
              <w:t>a)~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eastAsia="zh-CN"/>
              </w:rPr>
              <w:t>1.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pacing w:val="6"/>
                <w:sz w:val="14"/>
                <w:szCs w:val="14"/>
                <w:lang w:eastAsia="zh-CN"/>
              </w:rPr>
              <w:t>5</w:t>
            </w:r>
            <w:r>
              <w:rPr>
                <w:rFonts w:ascii="Times New Roman" w:hAnsi="Times New Roman" w:eastAsia="Times New Roman" w:cs="Times New Roman"/>
                <w:spacing w:val="5"/>
                <w:sz w:val="14"/>
                <w:szCs w:val="14"/>
                <w:lang w:eastAsia="zh-CN"/>
              </w:rPr>
              <w:t>%(b)</w:t>
            </w:r>
            <w:r>
              <w:rPr>
                <w:rFonts w:ascii="Times New Roman" w:hAnsi="Times New Roman" w:eastAsia="Times New Roman" w:cs="Times New Roman"/>
                <w:spacing w:val="-14"/>
                <w:sz w:val="14"/>
                <w:szCs w:val="14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14"/>
                <w:szCs w:val="14"/>
                <w:lang w:eastAsia="zh-CN"/>
              </w:rPr>
              <w:t>。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41" w:lineRule="auto"/>
              <w:rPr>
                <w:lang w:eastAsia="zh-CN"/>
              </w:rPr>
            </w:pPr>
          </w:p>
          <w:p>
            <w:pPr>
              <w:spacing w:before="46" w:line="232" w:lineRule="auto"/>
              <w:ind w:firstLine="156" w:firstLineChars="100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  <w:p>
            <w:pPr>
              <w:spacing w:before="46" w:line="232" w:lineRule="auto"/>
              <w:ind w:firstLine="156" w:firstLineChars="100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  <w:p>
            <w:pPr>
              <w:spacing w:before="46" w:line="232" w:lineRule="auto"/>
              <w:ind w:firstLine="156" w:firstLineChars="100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  <w:p>
            <w:pPr>
              <w:spacing w:before="46" w:line="232" w:lineRule="auto"/>
              <w:ind w:firstLine="156" w:firstLineChars="100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超额业绩报酬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32960" cy="3067685"/>
                  <wp:effectExtent l="0" t="0" r="15240" b="18415"/>
                  <wp:docPr id="2" name="图片 2" descr="7a7675f6-3aed-46a9-9623-173bd52835f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7a7675f6-3aed-46a9-9623-173bd52835f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32960" cy="306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spacing w:before="65" w:line="230" w:lineRule="auto"/>
              <w:ind w:left="44"/>
              <w:jc w:val="center"/>
              <w:rPr>
                <w:rFonts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  <w:t>理财相关费用及收费方式</w:t>
            </w:r>
          </w:p>
          <w:p>
            <w:pPr>
              <w:spacing w:before="46" w:line="232" w:lineRule="auto"/>
              <w:ind w:firstLine="156" w:firstLineChars="100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22800" cy="2851150"/>
                  <wp:effectExtent l="0" t="0" r="6350" b="6350"/>
                  <wp:docPr id="3" name="图片 3" descr="b9d3f216-ee1a-46e2-a967-0ab83ebd3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b9d3f216-ee1a-46e2-a967-0ab83ebd364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2800" cy="2851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</w:p>
        </w:tc>
      </w:tr>
    </w:tbl>
    <w:p>
      <w:pPr>
        <w:ind w:firstLine="420" w:firstLineChars="200"/>
        <w:rPr>
          <w:rFonts w:hint="eastAsia" w:cs="仿宋" w:asciiTheme="minorEastAsia" w:hAnsiTheme="minorEastAsia"/>
          <w:lang w:val="en-US" w:eastAsia="zh-CN"/>
        </w:rPr>
      </w:pPr>
      <w:r>
        <w:rPr>
          <w:rFonts w:hint="eastAsia" w:cs="仿宋" w:asciiTheme="minorEastAsia" w:hAnsiTheme="minorEastAsia"/>
          <w:lang w:val="en-US" w:eastAsia="zh-CN"/>
        </w:rPr>
        <w:t>变更后：</w:t>
      </w:r>
    </w:p>
    <w:tbl>
      <w:tblPr>
        <w:tblStyle w:val="5"/>
        <w:tblW w:w="8766" w:type="dxa"/>
        <w:tblInd w:w="5" w:type="dxa"/>
        <w:tblBorders>
          <w:top w:val="single" w:color="ECE9D8" w:sz="4" w:space="0"/>
          <w:left w:val="single" w:color="ECE9D8" w:sz="4" w:space="0"/>
          <w:bottom w:val="single" w:color="ECE9D8" w:sz="4" w:space="0"/>
          <w:right w:val="single" w:color="ECE9D8" w:sz="4" w:space="0"/>
          <w:insideH w:val="single" w:color="ECE9D8" w:sz="4" w:space="0"/>
          <w:insideV w:val="single" w:color="ECE9D8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2"/>
        <w:gridCol w:w="7354"/>
      </w:tblGrid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both"/>
              <w:textAlignment w:val="baseline"/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>年化业绩比较基准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both"/>
              <w:textAlignment w:val="baseline"/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 xml:space="preserve">年化业绩比较基准（r）为 </w:t>
            </w:r>
            <w:r>
              <w:rPr>
                <w:rFonts w:hint="eastAsia" w:ascii="宋体" w:hAnsi="宋体" w:eastAsia="宋体" w:cs="宋体"/>
                <w:spacing w:val="6"/>
                <w:sz w:val="14"/>
                <w:szCs w:val="14"/>
                <w:lang w:eastAsia="zh-CN"/>
              </w:rPr>
              <w:t>1.</w:t>
            </w:r>
            <w:r>
              <w:rPr>
                <w:rFonts w:hint="eastAsia" w:ascii="宋体" w:hAnsi="宋体" w:eastAsia="宋体" w:cs="宋体"/>
                <w:spacing w:val="6"/>
                <w:sz w:val="14"/>
                <w:szCs w:val="1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pacing w:val="6"/>
                <w:sz w:val="14"/>
                <w:szCs w:val="14"/>
                <w:lang w:eastAsia="zh-CN"/>
              </w:rPr>
              <w:t>0</w:t>
            </w:r>
            <w:r>
              <w:rPr>
                <w:rFonts w:ascii="宋体" w:hAnsi="宋体" w:eastAsia="宋体" w:cs="宋体"/>
                <w:spacing w:val="6"/>
                <w:sz w:val="14"/>
                <w:szCs w:val="14"/>
                <w:lang w:eastAsia="zh-CN"/>
              </w:rPr>
              <w:t>%。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41" w:lineRule="auto"/>
              <w:jc w:val="center"/>
              <w:rPr>
                <w:lang w:eastAsia="zh-CN"/>
              </w:rPr>
            </w:pPr>
            <w:r>
              <w:rPr>
                <w:rFonts w:hint="eastAsia" w:ascii="宋体" w:hAnsi="宋体" w:eastAsia="宋体" w:cs="宋体"/>
                <w:spacing w:val="8"/>
                <w:sz w:val="14"/>
                <w:szCs w:val="14"/>
                <w:lang w:val="en-US" w:eastAsia="zh-CN"/>
              </w:rPr>
              <w:t>浮动管理费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lang w:eastAsia="zh-CN"/>
              </w:rPr>
            </w:pPr>
            <w:r>
              <w:rPr>
                <w:lang w:eastAsia="zh-CN"/>
              </w:rPr>
              <w:drawing>
                <wp:inline distT="0" distB="0" distL="114300" distR="114300">
                  <wp:extent cx="4662805" cy="2726055"/>
                  <wp:effectExtent l="0" t="0" r="4445" b="17145"/>
                  <wp:docPr id="4" name="图片 4" descr="e88c5a39-4511-46a7-91d9-77f84df66c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e88c5a39-4511-46a7-91d9-77f84df66c5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2805" cy="272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lang w:eastAsia="zh-CN"/>
              </w:rPr>
            </w:pP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spacing w:before="65" w:line="230" w:lineRule="auto"/>
              <w:ind w:left="44"/>
              <w:jc w:val="center"/>
              <w:rPr>
                <w:rFonts w:hint="eastAsia"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  <w:t>理财相关费用及收费方式</w:t>
            </w:r>
          </w:p>
          <w:p>
            <w:pPr>
              <w:spacing w:before="46" w:line="232" w:lineRule="auto"/>
              <w:ind w:firstLine="156" w:firstLineChars="100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59630" cy="2661920"/>
                  <wp:effectExtent l="0" t="0" r="7620" b="5080"/>
                  <wp:docPr id="5" name="图片 5" descr="c925affc-8654-43b9-ba51-488711c23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925affc-8654-43b9-ba51-488711c2345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9630" cy="266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ind w:firstLine="420" w:firstLineChars="200"/>
        <w:rPr>
          <w:rFonts w:hint="eastAsia"/>
          <w:lang w:val="en-US" w:eastAsia="zh-CN"/>
        </w:rPr>
      </w:pPr>
    </w:p>
    <w:p>
      <w:pPr>
        <w:ind w:firstLine="422" w:firstLineChars="200"/>
        <w:rPr>
          <w:b/>
          <w:bCs/>
        </w:rPr>
      </w:pPr>
      <w:r>
        <w:rPr>
          <w:rFonts w:hint="eastAsia"/>
          <w:b/>
          <w:bCs/>
          <w:lang w:val="en-US" w:eastAsia="zh-CN"/>
        </w:rPr>
        <w:t>3</w:t>
      </w:r>
      <w:r>
        <w:rPr>
          <w:rFonts w:hint="eastAsia"/>
          <w:b/>
          <w:bCs/>
        </w:rPr>
        <w:t>、芙蓉·周周发净值型人民币理财产品</w:t>
      </w:r>
    </w:p>
    <w:p>
      <w:pPr>
        <w:ind w:firstLine="420" w:firstLineChars="200"/>
        <w:rPr>
          <w:rFonts w:hint="eastAsia" w:cs="仿宋" w:asciiTheme="minorEastAsia" w:hAnsiTheme="minorEastAsia"/>
          <w:lang w:val="en-US" w:eastAsia="zh-CN"/>
        </w:rPr>
      </w:pPr>
      <w:r>
        <w:rPr>
          <w:rFonts w:hint="eastAsia" w:cs="仿宋" w:asciiTheme="minorEastAsia" w:hAnsiTheme="minorEastAsia"/>
          <w:lang w:val="en-US" w:eastAsia="zh-CN"/>
        </w:rPr>
        <w:t>变更前：</w:t>
      </w:r>
    </w:p>
    <w:tbl>
      <w:tblPr>
        <w:tblStyle w:val="5"/>
        <w:tblW w:w="8766" w:type="dxa"/>
        <w:tblInd w:w="5" w:type="dxa"/>
        <w:tblBorders>
          <w:top w:val="single" w:color="ECE9D8" w:sz="4" w:space="0"/>
          <w:left w:val="single" w:color="ECE9D8" w:sz="4" w:space="0"/>
          <w:bottom w:val="single" w:color="ECE9D8" w:sz="4" w:space="0"/>
          <w:right w:val="single" w:color="ECE9D8" w:sz="4" w:space="0"/>
          <w:insideH w:val="single" w:color="ECE9D8" w:sz="4" w:space="0"/>
          <w:insideV w:val="single" w:color="ECE9D8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2"/>
        <w:gridCol w:w="7354"/>
      </w:tblGrid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46" w:line="232" w:lineRule="auto"/>
              <w:jc w:val="center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年化业绩比较基准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firstLine="150" w:firstLineChars="100"/>
              <w:jc w:val="left"/>
              <w:rPr>
                <w:rFonts w:hint="eastAsia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  <w:lang w:bidi="ar"/>
              </w:rPr>
              <w:t>A 类份额</w:t>
            </w:r>
            <w:r>
              <w:rPr>
                <w:rFonts w:hint="eastAsia"/>
                <w:sz w:val="15"/>
                <w:szCs w:val="15"/>
              </w:rPr>
              <w:t>业绩比较基准（r）为1.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3</w:t>
            </w:r>
            <w:r>
              <w:rPr>
                <w:rFonts w:hint="eastAsia"/>
                <w:sz w:val="15"/>
                <w:szCs w:val="15"/>
              </w:rPr>
              <w:t>0%（a）~1.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7</w:t>
            </w:r>
            <w:r>
              <w:rPr>
                <w:rFonts w:hint="eastAsia"/>
                <w:sz w:val="15"/>
                <w:szCs w:val="15"/>
              </w:rPr>
              <w:t>5%（b）</w:t>
            </w:r>
          </w:p>
          <w:p>
            <w:pPr>
              <w:ind w:firstLine="150" w:firstLineChars="100"/>
              <w:jc w:val="left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hint="eastAsia"/>
                <w:sz w:val="15"/>
                <w:szCs w:val="15"/>
              </w:rPr>
              <w:t>B 类份额业绩比较基准（r）为1.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3</w:t>
            </w:r>
            <w:r>
              <w:rPr>
                <w:rFonts w:hint="eastAsia"/>
                <w:sz w:val="15"/>
                <w:szCs w:val="15"/>
              </w:rPr>
              <w:t>0%（a）~1.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7</w:t>
            </w:r>
            <w:r>
              <w:rPr>
                <w:rFonts w:hint="eastAsia"/>
                <w:sz w:val="15"/>
                <w:szCs w:val="15"/>
              </w:rPr>
              <w:t>5%（b）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46" w:line="232" w:lineRule="auto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费用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本产品暂不收取销售手续费认购费、申购费，后续是否收取以江阴农商银行公告为准。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A 类份额: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收取固定管理费率0.03%（年）、运营管理费率0.01%（年）、托管费率0.005%（年），后续如有调整以江阴农商银行公告为准。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B 类份额: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收取固定管理费率0.03%（年）、运营管理费率0.01%（年）、托管费率0.005%（年），后续如有调整以江阴农商银行公告为准。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cs="宋体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本产品份额赎回暂免手续费收取，后续是否收取以江阴农商银行公告为准。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line="241" w:lineRule="auto"/>
              <w:rPr>
                <w:lang w:eastAsia="zh-CN"/>
              </w:rPr>
            </w:pPr>
          </w:p>
          <w:p>
            <w:pPr>
              <w:spacing w:before="46" w:line="232" w:lineRule="auto"/>
              <w:ind w:firstLine="156" w:firstLineChars="100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  <w:p>
            <w:pPr>
              <w:spacing w:before="46" w:line="232" w:lineRule="auto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  <w:p>
            <w:pPr>
              <w:spacing w:before="46" w:line="232" w:lineRule="auto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  <w:p>
            <w:pPr>
              <w:spacing w:before="46" w:line="232" w:lineRule="auto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超额业绩报酬</w:t>
            </w:r>
          </w:p>
          <w:p>
            <w:pPr>
              <w:spacing w:before="46" w:line="232" w:lineRule="auto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（A类份额）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58360" cy="2968625"/>
                  <wp:effectExtent l="0" t="0" r="8890" b="3175"/>
                  <wp:docPr id="8" name="图片 8" descr="63ebeaf4-852b-42fa-997c-501761766e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63ebeaf4-852b-42fa-997c-501761766ee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8360" cy="296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46" w:line="232" w:lineRule="auto"/>
              <w:ind w:firstLine="150" w:firstLineChars="10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超额业绩报酬</w:t>
            </w:r>
          </w:p>
          <w:p>
            <w:pPr>
              <w:spacing w:before="46" w:line="232" w:lineRule="auto"/>
              <w:ind w:firstLine="150" w:firstLineChars="100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（B类份额）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58995" cy="3253740"/>
                  <wp:effectExtent l="0" t="0" r="8255" b="3810"/>
                  <wp:docPr id="9" name="图片 9" descr="e0e01562-15b0-4728-be68-272694e793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e0e01562-15b0-4728-be68-272694e793be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8995" cy="3253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spacing w:before="65" w:line="230" w:lineRule="auto"/>
              <w:ind w:left="44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  <w:t>理财相关费用及收费方式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5.运营管理费：A 类份额:费用比率为0.01%/年，B 类份额:费用比率为0.01%/年，每日按前一日资产净值计提。后续如有调整以我行公告为准。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spacing w:before="65" w:line="230" w:lineRule="auto"/>
              <w:ind w:left="44"/>
              <w:jc w:val="center"/>
              <w:rPr>
                <w:rFonts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  <w:t>理财相关费用及收费方式</w:t>
            </w:r>
          </w:p>
          <w:p>
            <w:pPr>
              <w:spacing w:before="46" w:line="232" w:lineRule="auto"/>
              <w:ind w:firstLine="156" w:firstLineChars="100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55185" cy="2787015"/>
                  <wp:effectExtent l="0" t="0" r="12065" b="13335"/>
                  <wp:docPr id="10" name="图片 10" descr="9449e70c-6424-47d3-af14-931eac88f2f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9449e70c-6424-47d3-af14-931eac88f2fe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185" cy="2787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60900" cy="2921635"/>
                  <wp:effectExtent l="0" t="0" r="6350" b="12065"/>
                  <wp:docPr id="11" name="图片 11" descr="d627a783-0749-4ddc-bbe8-d20dcea039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d627a783-0749-4ddc-bbe8-d20dcea0392f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0900" cy="292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</w:p>
        </w:tc>
      </w:tr>
    </w:tbl>
    <w:p>
      <w:pPr>
        <w:ind w:firstLine="420" w:firstLineChars="200"/>
        <w:rPr>
          <w:rFonts w:hint="eastAsia" w:cs="仿宋" w:asciiTheme="minorEastAsia" w:hAnsiTheme="minorEastAsia"/>
          <w:lang w:val="en-US" w:eastAsia="zh-CN"/>
        </w:rPr>
      </w:pPr>
    </w:p>
    <w:p>
      <w:pPr>
        <w:ind w:firstLine="420" w:firstLineChars="200"/>
        <w:rPr>
          <w:rFonts w:hint="eastAsia" w:cs="仿宋" w:asciiTheme="minorEastAsia" w:hAnsiTheme="minorEastAsia"/>
          <w:lang w:val="en-US" w:eastAsia="zh-CN"/>
        </w:rPr>
      </w:pPr>
      <w:r>
        <w:rPr>
          <w:rFonts w:hint="eastAsia" w:cs="仿宋" w:asciiTheme="minorEastAsia" w:hAnsiTheme="minorEastAsia"/>
          <w:lang w:val="en-US" w:eastAsia="zh-CN"/>
        </w:rPr>
        <w:t>变更后：</w:t>
      </w:r>
    </w:p>
    <w:tbl>
      <w:tblPr>
        <w:tblStyle w:val="5"/>
        <w:tblW w:w="8766" w:type="dxa"/>
        <w:tblInd w:w="5" w:type="dxa"/>
        <w:tblBorders>
          <w:top w:val="single" w:color="ECE9D8" w:sz="4" w:space="0"/>
          <w:left w:val="single" w:color="ECE9D8" w:sz="4" w:space="0"/>
          <w:bottom w:val="single" w:color="ECE9D8" w:sz="4" w:space="0"/>
          <w:right w:val="single" w:color="ECE9D8" w:sz="4" w:space="0"/>
          <w:insideH w:val="single" w:color="ECE9D8" w:sz="4" w:space="0"/>
          <w:insideV w:val="single" w:color="ECE9D8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2"/>
        <w:gridCol w:w="7354"/>
      </w:tblGrid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46" w:line="232" w:lineRule="auto"/>
              <w:jc w:val="center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sz w:val="14"/>
                <w:szCs w:val="14"/>
              </w:rPr>
              <w:t>年化业绩比较基准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hd w:val="clear"/>
              <w:ind w:firstLine="150" w:firstLineChars="100"/>
              <w:jc w:val="left"/>
              <w:rPr>
                <w:rFonts w:hint="eastAsia"/>
                <w:sz w:val="15"/>
                <w:szCs w:val="15"/>
                <w:highlight w:val="none"/>
              </w:rPr>
            </w:pPr>
            <w:r>
              <w:rPr>
                <w:rFonts w:hint="eastAsia"/>
                <w:sz w:val="15"/>
                <w:szCs w:val="15"/>
                <w:highlight w:val="none"/>
                <w:lang w:bidi="ar"/>
              </w:rPr>
              <w:t>A 类份额</w:t>
            </w:r>
            <w:r>
              <w:rPr>
                <w:rFonts w:hint="eastAsia"/>
                <w:sz w:val="15"/>
                <w:szCs w:val="15"/>
                <w:highlight w:val="none"/>
              </w:rPr>
              <w:t>业绩比较基准（r）为1.</w:t>
            </w:r>
            <w:r>
              <w:rPr>
                <w:rFonts w:hint="eastAsia"/>
                <w:sz w:val="15"/>
                <w:szCs w:val="15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5"/>
                <w:szCs w:val="15"/>
                <w:highlight w:val="none"/>
              </w:rPr>
              <w:t>0%</w:t>
            </w:r>
          </w:p>
          <w:p>
            <w:pPr>
              <w:shd w:val="clear"/>
              <w:ind w:firstLine="150" w:firstLineChars="100"/>
              <w:jc w:val="left"/>
              <w:rPr>
                <w:rFonts w:ascii="宋体" w:hAnsi="宋体" w:eastAsia="宋体" w:cs="宋体"/>
                <w:sz w:val="14"/>
                <w:szCs w:val="14"/>
              </w:rPr>
            </w:pPr>
            <w:r>
              <w:rPr>
                <w:rFonts w:hint="eastAsia"/>
                <w:sz w:val="15"/>
                <w:szCs w:val="15"/>
                <w:highlight w:val="none"/>
              </w:rPr>
              <w:t>B 类份额业绩比较基准（r）为1.</w:t>
            </w:r>
            <w:r>
              <w:rPr>
                <w:rFonts w:hint="eastAsia"/>
                <w:sz w:val="15"/>
                <w:szCs w:val="15"/>
                <w:highlight w:val="none"/>
                <w:lang w:val="en-US" w:eastAsia="zh-CN"/>
              </w:rPr>
              <w:t>3</w:t>
            </w:r>
            <w:r>
              <w:rPr>
                <w:rFonts w:hint="eastAsia"/>
                <w:sz w:val="15"/>
                <w:szCs w:val="15"/>
                <w:highlight w:val="none"/>
              </w:rPr>
              <w:t>0%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0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46" w:line="232" w:lineRule="auto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费用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240" w:lineRule="auto"/>
              <w:jc w:val="left"/>
              <w:rPr>
                <w:rFonts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本产品暂不收取销售手续费认购费、申购费，后续是否收取以江阴农商银行公告为准。</w:t>
            </w: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240" w:lineRule="auto"/>
              <w:jc w:val="left"/>
              <w:rPr>
                <w:rFonts w:hint="eastAsia" w:ascii="宋体" w:hAnsi="宋体" w:cs="宋体"/>
                <w:kern w:val="0"/>
                <w:sz w:val="15"/>
                <w:szCs w:val="15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lang w:bidi="ar"/>
              </w:rPr>
              <w:t>A 类份额: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收取固定管理费率0.03%（年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  <w:highlight w:val="none"/>
              </w:rPr>
              <w:t>）、运营管理费率0.0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  <w:highlight w:val="none"/>
                <w:lang w:val="en-US" w:eastAsia="zh-CN"/>
              </w:rPr>
              <w:t>05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  <w:highlight w:val="none"/>
              </w:rPr>
              <w:t>%（年）、托管费率0.005%（年），后续如有调整以江阴农商银行公告为准。</w:t>
            </w:r>
          </w:p>
          <w:p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after="0" w:line="240" w:lineRule="auto"/>
              <w:jc w:val="left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5"/>
                <w:szCs w:val="15"/>
                <w:highlight w:val="none"/>
                <w:lang w:bidi="ar"/>
              </w:rPr>
              <w:t>B 类份额: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  <w:highlight w:val="none"/>
              </w:rPr>
              <w:t>收取固定管理费率0.03%（年）、运营管理费率0.0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  <w:highlight w:val="none"/>
                <w:lang w:val="en-US" w:eastAsia="zh-CN"/>
              </w:rPr>
              <w:t>05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  <w:highlight w:val="none"/>
              </w:rPr>
              <w:t>%（年）、托管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费率0.005%（年），后续如有调整以江阴农商银行公告为准。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23" w:leftChars="0"/>
              <w:jc w:val="left"/>
              <w:textAlignment w:val="baseline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本产品份额赎回暂免手续费收取，后续是否收取以江阴农商银行公告为准。</w:t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240" w:lineRule="auto"/>
              <w:ind w:left="23" w:leftChars="0"/>
              <w:jc w:val="left"/>
              <w:textAlignment w:val="baseline"/>
              <w:rPr>
                <w:rFonts w:hint="eastAsia" w:ascii="宋体" w:hAnsi="宋体" w:cs="宋体"/>
                <w:kern w:val="0"/>
                <w:sz w:val="15"/>
                <w:szCs w:val="15"/>
                <w:lang w:eastAsia="zh-CN"/>
              </w:rPr>
            </w:pP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spacing w:before="46" w:line="232" w:lineRule="auto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</w:p>
          <w:p>
            <w:pPr>
              <w:spacing w:before="46" w:line="232" w:lineRule="auto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highlight w:val="none"/>
                <w:lang w:eastAsia="zh-CN"/>
              </w:rPr>
              <w:t>浮动管理费</w:t>
            </w:r>
          </w:p>
          <w:p>
            <w:pPr>
              <w:spacing w:before="46" w:line="232" w:lineRule="auto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（A类份额）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58360" cy="2534285"/>
                  <wp:effectExtent l="0" t="0" r="8890" b="18415"/>
                  <wp:docPr id="12" name="图片 12" descr="1776b849-e197-4963-87b2-4fc56d002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1776b849-e197-4963-87b2-4fc56d00292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8360" cy="2534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before="46" w:line="232" w:lineRule="auto"/>
              <w:ind w:firstLine="150" w:firstLineChars="100"/>
              <w:jc w:val="center"/>
              <w:rPr>
                <w:rFonts w:hint="eastAsia" w:ascii="宋体" w:hAnsi="宋体" w:cs="宋体"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  <w:highlight w:val="none"/>
                <w:lang w:eastAsia="zh-CN"/>
              </w:rPr>
              <w:t>浮动管理费</w:t>
            </w:r>
          </w:p>
          <w:p>
            <w:pPr>
              <w:spacing w:before="46" w:line="232" w:lineRule="auto"/>
              <w:ind w:firstLine="150" w:firstLineChars="100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（B类份额）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58360" cy="2880360"/>
                  <wp:effectExtent l="0" t="0" r="8890" b="15240"/>
                  <wp:docPr id="13" name="图片 13" descr="869f2ca5-8cd7-4c38-b2f6-7ed17bef2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869f2ca5-8cd7-4c38-b2f6-7ed17bef259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8360" cy="288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spacing w:before="65" w:line="230" w:lineRule="auto"/>
              <w:ind w:left="44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  <w:r>
              <w:rPr>
                <w:rFonts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  <w:t>理财相关费用及收费方式</w:t>
            </w: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5.运营管理费：A 类份额:费用比率为0.0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  <w:lang w:val="en-US" w:eastAsia="zh-CN"/>
              </w:rPr>
              <w:t>05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%/年，B 类份额:费用比率为0.0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  <w:lang w:val="en-US" w:eastAsia="zh-CN"/>
              </w:rPr>
              <w:t>05</w:t>
            </w:r>
            <w:r>
              <w:rPr>
                <w:rFonts w:hint="eastAsia" w:ascii="宋体" w:hAnsi="宋体" w:cs="宋体"/>
                <w:kern w:val="0"/>
                <w:sz w:val="15"/>
                <w:szCs w:val="15"/>
              </w:rPr>
              <w:t>%/年，每日按前一日资产净值计提。后续如有调整以我行公告为准。</w:t>
            </w:r>
          </w:p>
        </w:tc>
      </w:tr>
      <w:tr>
        <w:tblPrEx>
          <w:tblBorders>
            <w:top w:val="single" w:color="ECE9D8" w:sz="4" w:space="0"/>
            <w:left w:val="single" w:color="ECE9D8" w:sz="4" w:space="0"/>
            <w:bottom w:val="single" w:color="ECE9D8" w:sz="4" w:space="0"/>
            <w:right w:val="single" w:color="ECE9D8" w:sz="4" w:space="0"/>
            <w:insideH w:val="single" w:color="ECE9D8" w:sz="4" w:space="0"/>
            <w:insideV w:val="single" w:color="ECE9D8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4" w:hRule="atLeast"/>
        </w:trPr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Style w:val="2"/>
              <w:spacing w:before="65" w:line="230" w:lineRule="auto"/>
              <w:ind w:left="44"/>
              <w:jc w:val="center"/>
              <w:rPr>
                <w:rFonts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8"/>
                <w:kern w:val="2"/>
                <w:sz w:val="14"/>
                <w:szCs w:val="14"/>
                <w:lang w:val="en-US" w:eastAsia="zh-CN" w:bidi="ar-SA"/>
              </w:rPr>
              <w:t>理财相关费用及收费方式</w:t>
            </w:r>
          </w:p>
          <w:p>
            <w:pPr>
              <w:spacing w:before="46" w:line="232" w:lineRule="auto"/>
              <w:ind w:firstLine="156" w:firstLineChars="100"/>
              <w:jc w:val="center"/>
              <w:rPr>
                <w:rFonts w:ascii="宋体" w:hAnsi="宋体" w:eastAsia="宋体" w:cs="宋体"/>
                <w:spacing w:val="8"/>
                <w:sz w:val="14"/>
                <w:szCs w:val="14"/>
              </w:rPr>
            </w:pPr>
          </w:p>
        </w:tc>
        <w:tc>
          <w:tcPr>
            <w:tcW w:w="73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57725" cy="2686050"/>
                  <wp:effectExtent l="0" t="0" r="9525" b="0"/>
                  <wp:docPr id="14" name="图片 14" descr="53a7d5b1-17ac-4a16-91a4-25dcdb5248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53a7d5b1-17ac-4a16-91a4-25dcdb52486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7725" cy="268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  <w:r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  <w:drawing>
                <wp:inline distT="0" distB="0" distL="114300" distR="114300">
                  <wp:extent cx="4655820" cy="2616835"/>
                  <wp:effectExtent l="0" t="0" r="11430" b="12065"/>
                  <wp:docPr id="15" name="图片 15" descr="24fd747b-3f74-4e81-a474-73faab17d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24fd747b-3f74-4e81-a474-73faab17d93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820" cy="2616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23" w:leftChars="0"/>
              <w:jc w:val="left"/>
              <w:textAlignment w:val="baseline"/>
              <w:rPr>
                <w:rFonts w:ascii="宋体" w:hAnsi="宋体" w:eastAsia="宋体" w:cs="宋体"/>
                <w:snapToGrid w:val="0"/>
                <w:color w:val="000000"/>
                <w:spacing w:val="9"/>
                <w:kern w:val="0"/>
                <w:sz w:val="14"/>
                <w:szCs w:val="14"/>
                <w:lang w:eastAsia="zh-CN"/>
              </w:rPr>
            </w:pPr>
          </w:p>
        </w:tc>
      </w:tr>
    </w:tbl>
    <w:p>
      <w:pPr>
        <w:ind w:firstLine="420"/>
        <w:rPr>
          <w:rFonts w:hint="eastAsia" w:cs="仿宋" w:asciiTheme="minorEastAsia" w:hAnsiTheme="minorEastAsia"/>
        </w:rPr>
      </w:pPr>
    </w:p>
    <w:p>
      <w:pPr>
        <w:ind w:firstLine="420"/>
        <w:rPr>
          <w:rFonts w:hint="eastAsia" w:cs="仿宋" w:asciiTheme="minorEastAsia" w:hAnsiTheme="minorEastAsia"/>
        </w:rPr>
      </w:pPr>
      <w:r>
        <w:rPr>
          <w:rFonts w:hint="eastAsia" w:cs="仿宋" w:asciiTheme="minorEastAsia" w:hAnsiTheme="minorEastAsia"/>
        </w:rPr>
        <w:t>以上条款调整要素于202</w:t>
      </w:r>
      <w:r>
        <w:rPr>
          <w:rFonts w:hint="eastAsia" w:cs="仿宋" w:asciiTheme="minorEastAsia" w:hAnsiTheme="minorEastAsia"/>
          <w:highlight w:val="none"/>
        </w:rPr>
        <w:t>6年</w:t>
      </w:r>
      <w:r>
        <w:rPr>
          <w:rFonts w:hint="eastAsia" w:cs="仿宋" w:asciiTheme="minorEastAsia" w:hAnsiTheme="minorEastAsia"/>
          <w:highlight w:val="none"/>
          <w:lang w:val="en-US" w:eastAsia="zh-CN"/>
        </w:rPr>
        <w:t>10</w:t>
      </w:r>
      <w:r>
        <w:rPr>
          <w:rFonts w:hint="eastAsia" w:cs="仿宋" w:asciiTheme="minorEastAsia" w:hAnsiTheme="minorEastAsia"/>
          <w:highlight w:val="none"/>
        </w:rPr>
        <w:t>月</w:t>
      </w:r>
      <w:r>
        <w:rPr>
          <w:rFonts w:hint="eastAsia" w:cs="仿宋" w:asciiTheme="minorEastAsia" w:hAnsiTheme="minorEastAsia"/>
          <w:highlight w:val="none"/>
          <w:lang w:val="en-US" w:eastAsia="zh-CN"/>
        </w:rPr>
        <w:t>14</w:t>
      </w:r>
      <w:r>
        <w:rPr>
          <w:rFonts w:hint="eastAsia" w:cs="仿宋" w:asciiTheme="minorEastAsia" w:hAnsiTheme="minorEastAsia"/>
        </w:rPr>
        <w:t>日生效，感谢您一直以来对江阴农商银行的支持！敬请继续关注江阴农商银行正在销售的其他理财产品。</w:t>
      </w:r>
    </w:p>
    <w:p>
      <w:pPr>
        <w:ind w:firstLine="420"/>
        <w:rPr>
          <w:rFonts w:hint="eastAsia" w:cs="仿宋" w:asciiTheme="minorEastAsia" w:hAnsiTheme="minorEastAsia"/>
        </w:rPr>
      </w:pPr>
      <w:r>
        <w:rPr>
          <w:rFonts w:hint="eastAsia" w:cs="仿宋" w:asciiTheme="minorEastAsia" w:hAnsiTheme="minorEastAsia"/>
        </w:rPr>
        <w:t>特此公告。</w:t>
      </w:r>
    </w:p>
    <w:p>
      <w:pPr>
        <w:ind w:firstLine="420"/>
        <w:rPr>
          <w:rFonts w:hint="eastAsia" w:cs="仿宋" w:asciiTheme="minorEastAsia" w:hAnsiTheme="minorEastAsia"/>
        </w:rPr>
      </w:pPr>
    </w:p>
    <w:p>
      <w:pPr>
        <w:ind w:firstLine="420"/>
        <w:jc w:val="right"/>
        <w:rPr>
          <w:rFonts w:hint="eastAsia" w:cs="仿宋" w:asciiTheme="minorEastAsia" w:hAnsiTheme="minorEastAsia"/>
          <w:highlight w:val="none"/>
        </w:rPr>
      </w:pPr>
      <w:r>
        <w:rPr>
          <w:rFonts w:hint="eastAsia" w:cs="仿宋" w:asciiTheme="minorEastAsia" w:hAnsiTheme="minorEastAsia"/>
        </w:rPr>
        <w:t>江苏江阴农村商业银</w:t>
      </w:r>
      <w:r>
        <w:rPr>
          <w:rFonts w:hint="eastAsia" w:cs="仿宋" w:asciiTheme="minorEastAsia" w:hAnsiTheme="minorEastAsia"/>
          <w:highlight w:val="none"/>
        </w:rPr>
        <w:t>行股份有限公司</w:t>
      </w:r>
    </w:p>
    <w:p>
      <w:pPr>
        <w:ind w:firstLine="420"/>
        <w:jc w:val="right"/>
        <w:rPr>
          <w:rFonts w:hint="eastAsia" w:cs="仿宋" w:asciiTheme="minorEastAsia" w:hAnsiTheme="minorEastAsia"/>
          <w:highlight w:val="none"/>
        </w:rPr>
      </w:pPr>
      <w:r>
        <w:rPr>
          <w:rFonts w:hint="eastAsia" w:cs="仿宋" w:asciiTheme="minorEastAsia" w:hAnsiTheme="minorEastAsia"/>
          <w:highlight w:val="none"/>
        </w:rPr>
        <w:t>2026年</w:t>
      </w:r>
      <w:r>
        <w:rPr>
          <w:rFonts w:hint="eastAsia" w:cs="仿宋" w:asciiTheme="minorEastAsia" w:hAnsiTheme="minorEastAsia"/>
          <w:highlight w:val="none"/>
          <w:lang w:val="en-US" w:eastAsia="zh-CN"/>
        </w:rPr>
        <w:t>10</w:t>
      </w:r>
      <w:r>
        <w:rPr>
          <w:rFonts w:hint="eastAsia" w:cs="仿宋" w:asciiTheme="minorEastAsia" w:hAnsiTheme="minorEastAsia"/>
          <w:highlight w:val="none"/>
        </w:rPr>
        <w:t>月</w:t>
      </w:r>
      <w:r>
        <w:rPr>
          <w:rFonts w:hint="eastAsia" w:cs="仿宋" w:asciiTheme="minorEastAsia" w:hAnsiTheme="minorEastAsia"/>
          <w:highlight w:val="none"/>
          <w:lang w:val="en-US" w:eastAsia="zh-CN"/>
        </w:rPr>
        <w:t>8</w:t>
      </w:r>
      <w:bookmarkStart w:id="0" w:name="_GoBack"/>
      <w:bookmarkEnd w:id="0"/>
      <w:r>
        <w:rPr>
          <w:rFonts w:hint="eastAsia" w:cs="仿宋" w:asciiTheme="minorEastAsia" w:hAnsiTheme="minorEastAsia"/>
          <w:highlight w:val="none"/>
        </w:rPr>
        <w:t>日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60A64A"/>
    <w:multiLevelType w:val="singleLevel"/>
    <w:tmpl w:val="9A60A64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iZDA2ODQ2MTg4MDAyNTllYmMxZDZhMWIzNTVmNjEifQ=="/>
  </w:docVars>
  <w:rsids>
    <w:rsidRoot w:val="00172A27"/>
    <w:rsid w:val="00062CB3"/>
    <w:rsid w:val="0014155E"/>
    <w:rsid w:val="0016668F"/>
    <w:rsid w:val="00170A3F"/>
    <w:rsid w:val="00172A27"/>
    <w:rsid w:val="002174A2"/>
    <w:rsid w:val="002517DD"/>
    <w:rsid w:val="00253BB8"/>
    <w:rsid w:val="002B4D36"/>
    <w:rsid w:val="002E021D"/>
    <w:rsid w:val="002F4C7C"/>
    <w:rsid w:val="00372814"/>
    <w:rsid w:val="0040001C"/>
    <w:rsid w:val="004C4DD1"/>
    <w:rsid w:val="004F63B0"/>
    <w:rsid w:val="00546F75"/>
    <w:rsid w:val="00550B96"/>
    <w:rsid w:val="00555692"/>
    <w:rsid w:val="005716D2"/>
    <w:rsid w:val="0059158C"/>
    <w:rsid w:val="005A3473"/>
    <w:rsid w:val="005B0303"/>
    <w:rsid w:val="00606CC0"/>
    <w:rsid w:val="00633625"/>
    <w:rsid w:val="006F6340"/>
    <w:rsid w:val="00741F43"/>
    <w:rsid w:val="0075669F"/>
    <w:rsid w:val="007C19A8"/>
    <w:rsid w:val="008D37DF"/>
    <w:rsid w:val="008F011B"/>
    <w:rsid w:val="00932AFD"/>
    <w:rsid w:val="00A25F96"/>
    <w:rsid w:val="00A33A04"/>
    <w:rsid w:val="00A476D4"/>
    <w:rsid w:val="00A711EE"/>
    <w:rsid w:val="00A809BE"/>
    <w:rsid w:val="00AB46F4"/>
    <w:rsid w:val="00AB5CC8"/>
    <w:rsid w:val="00AB77E3"/>
    <w:rsid w:val="00AF0DA7"/>
    <w:rsid w:val="00B12641"/>
    <w:rsid w:val="00B97F58"/>
    <w:rsid w:val="00BF3C61"/>
    <w:rsid w:val="00C06BC4"/>
    <w:rsid w:val="00C56074"/>
    <w:rsid w:val="00C932A0"/>
    <w:rsid w:val="00D1709C"/>
    <w:rsid w:val="00E31DB4"/>
    <w:rsid w:val="00EA65A2"/>
    <w:rsid w:val="00EB156A"/>
    <w:rsid w:val="00EF1ACC"/>
    <w:rsid w:val="00F529E6"/>
    <w:rsid w:val="00FA6F28"/>
    <w:rsid w:val="0410568E"/>
    <w:rsid w:val="0A5376E7"/>
    <w:rsid w:val="0B2833B7"/>
    <w:rsid w:val="0BA92767"/>
    <w:rsid w:val="0E9B4151"/>
    <w:rsid w:val="0F47538B"/>
    <w:rsid w:val="0FA26299"/>
    <w:rsid w:val="106C6D2E"/>
    <w:rsid w:val="108968D5"/>
    <w:rsid w:val="10F12FE6"/>
    <w:rsid w:val="1206598F"/>
    <w:rsid w:val="148D08EF"/>
    <w:rsid w:val="1968576C"/>
    <w:rsid w:val="1AD45926"/>
    <w:rsid w:val="1DE958DB"/>
    <w:rsid w:val="1E7F643D"/>
    <w:rsid w:val="242F2549"/>
    <w:rsid w:val="26910B48"/>
    <w:rsid w:val="298155FD"/>
    <w:rsid w:val="29E47A53"/>
    <w:rsid w:val="2ADE635F"/>
    <w:rsid w:val="2E5A2D14"/>
    <w:rsid w:val="2ED877ED"/>
    <w:rsid w:val="2FAB2614"/>
    <w:rsid w:val="330C1A04"/>
    <w:rsid w:val="36F3333E"/>
    <w:rsid w:val="37386FA5"/>
    <w:rsid w:val="39C03C64"/>
    <w:rsid w:val="39E3373B"/>
    <w:rsid w:val="3FD84DF4"/>
    <w:rsid w:val="41295CD6"/>
    <w:rsid w:val="42900ED8"/>
    <w:rsid w:val="4742679B"/>
    <w:rsid w:val="4D88244A"/>
    <w:rsid w:val="4DE57DD8"/>
    <w:rsid w:val="4E3C1D70"/>
    <w:rsid w:val="4ECF136B"/>
    <w:rsid w:val="4F1D57AB"/>
    <w:rsid w:val="4F7330AD"/>
    <w:rsid w:val="51226F3A"/>
    <w:rsid w:val="513F378C"/>
    <w:rsid w:val="58303009"/>
    <w:rsid w:val="597A66E5"/>
    <w:rsid w:val="5AE6200F"/>
    <w:rsid w:val="601D3D27"/>
    <w:rsid w:val="60F82EFA"/>
    <w:rsid w:val="617D5605"/>
    <w:rsid w:val="620221AB"/>
    <w:rsid w:val="64920748"/>
    <w:rsid w:val="686A5863"/>
    <w:rsid w:val="696D7E3D"/>
    <w:rsid w:val="6B217298"/>
    <w:rsid w:val="6B38061F"/>
    <w:rsid w:val="6C9457EE"/>
    <w:rsid w:val="6CD50C77"/>
    <w:rsid w:val="6D016141"/>
    <w:rsid w:val="6E114FB9"/>
    <w:rsid w:val="6EA513EB"/>
    <w:rsid w:val="71505F01"/>
    <w:rsid w:val="739B6273"/>
    <w:rsid w:val="73EA2E81"/>
    <w:rsid w:val="76F20546"/>
    <w:rsid w:val="7B0933FD"/>
    <w:rsid w:val="7B4F217D"/>
    <w:rsid w:val="7C0E7675"/>
    <w:rsid w:val="7E3B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0"/>
      <w:szCs w:val="20"/>
      <w:lang w:eastAsia="en-US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eastAsia="en-US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874</Words>
  <Characters>927</Characters>
  <Lines>40</Lines>
  <Paragraphs>37</Paragraphs>
  <TotalTime>2</TotalTime>
  <ScaleCrop>false</ScaleCrop>
  <LinksUpToDate>false</LinksUpToDate>
  <CharactersWithSpaces>1764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2024-03-14T06:43:00Z</dcterms:created>
  <dc:creator>admin</dc:creator>
  <cp:lastModifiedBy>Administrator</cp:lastModifiedBy>
  <dcterms:modified xsi:type="dcterms:W3CDTF">2026-10-08T02:24:49Z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F3A053BF13484EC68D985BD7C360075E</vt:lpwstr>
  </property>
</Properties>
</file>