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cs="仿宋" w:asciiTheme="minorEastAsia" w:hAnsiTheme="minorEastAsia"/>
        </w:rPr>
      </w:pPr>
      <w:r>
        <w:rPr>
          <w:rFonts w:hint="eastAsia" w:cs="仿宋" w:asciiTheme="minorEastAsia" w:hAnsiTheme="minorEastAsia"/>
        </w:rPr>
        <w:t>尊敬的客户：</w:t>
      </w:r>
    </w:p>
    <w:p>
      <w:pPr>
        <w:ind w:firstLine="420"/>
        <w:rPr>
          <w:rFonts w:hint="eastAsia" w:cs="仿宋" w:asciiTheme="minorEastAsia" w:hAnsiTheme="minorEastAsia"/>
        </w:rPr>
      </w:pPr>
      <w:r>
        <w:rPr>
          <w:rFonts w:hint="eastAsia" w:cs="仿宋" w:asciiTheme="minorEastAsia" w:hAnsiTheme="minorEastAsia"/>
        </w:rPr>
        <w:t>我行决定对芙蓉·季开鑫2号3个月定开净值型人民币理财产品（产品登记编码：C1114721000005）（产品代码【J210302】）、芙蓉·半年赢2号6个月定开净值型人民币理财产品（产品登记编码：C1114721000004）（产品代码【W210602】）、芙蓉·年年花开一年定开净值型人民币理财产品（产品登记编码：C1114721000003）（产品代码【K211201】）、芙蓉·多策略固收增强18个月定开净值型人民币理财产品（产品登记编码：C1114721000007）（产品代码【Q211801】）、芙蓉·双年荟萃5号两年定开净值型人民币理财产品（产品登记编码：C1114721000008）（产品代码【S212405】）、芙蓉·花开富贵30个月净值型人民币理财产品（产品登记编码：C1114723000001）（产品代码【G233001】）、芙蓉·三阳开泰2号三年定开净值型人民币理财产品（产品登记编码：C1114721000009）（产品代码【Y213602】）、芙蓉·年稳赢2号一年定开净值型人民币理财产品（产品</w:t>
      </w:r>
      <w:r>
        <w:rPr>
          <w:rFonts w:hint="eastAsia" w:cs="仿宋" w:asciiTheme="minorEastAsia" w:hAnsiTheme="minorEastAsia"/>
          <w:highlight w:val="none"/>
        </w:rPr>
        <w:t>登记编码：C1114725000002）（产品代码【N251202】）、</w:t>
      </w:r>
      <w:r>
        <w:rPr>
          <w:rFonts w:hint="eastAsia" w:cs="仿宋" w:asciiTheme="minorEastAsia" w:hAnsiTheme="minorEastAsia"/>
        </w:rPr>
        <w:t>芙蓉·增益一年定开净值型人民币理财产品（产品登记编码</w:t>
      </w:r>
      <w:r>
        <w:rPr>
          <w:rFonts w:hint="eastAsia" w:cs="仿宋" w:asciiTheme="minorEastAsia" w:hAnsiTheme="minorEastAsia"/>
          <w:lang w:eastAsia="zh-CN"/>
        </w:rPr>
        <w:t>：C1114725000003</w:t>
      </w:r>
      <w:r>
        <w:rPr>
          <w:rFonts w:hint="eastAsia" w:cs="仿宋" w:asciiTheme="minorEastAsia" w:hAnsiTheme="minorEastAsia"/>
        </w:rPr>
        <w:t>）（产品代码【Z251201】）、芙蓉·增益两年定开净值型人民币理财产品（产品登记编码</w:t>
      </w:r>
      <w:r>
        <w:rPr>
          <w:rFonts w:hint="eastAsia" w:cs="仿宋" w:asciiTheme="minorEastAsia" w:hAnsiTheme="minorEastAsia"/>
          <w:lang w:eastAsia="zh-CN"/>
        </w:rPr>
        <w:t>：C1114725000004</w:t>
      </w:r>
      <w:r>
        <w:rPr>
          <w:rFonts w:hint="eastAsia" w:cs="仿宋" w:asciiTheme="minorEastAsia" w:hAnsiTheme="minorEastAsia"/>
        </w:rPr>
        <w:t>）（产品代码【Z252401】）、芙蓉·增益三年定开净值型人民币理财产品（产品登记编码</w:t>
      </w:r>
      <w:r>
        <w:rPr>
          <w:rFonts w:hint="eastAsia" w:cs="仿宋" w:asciiTheme="minorEastAsia" w:hAnsiTheme="minorEastAsia"/>
          <w:lang w:eastAsia="zh-CN"/>
        </w:rPr>
        <w:t>：C1114725000005</w:t>
      </w:r>
      <w:r>
        <w:rPr>
          <w:rFonts w:hint="eastAsia" w:cs="仿宋" w:asciiTheme="minorEastAsia" w:hAnsiTheme="minorEastAsia"/>
        </w:rPr>
        <w:t>）（产品代码【Z253601】）、芙蓉·增益五年定开净值型人民币理财产品（产品登记编码</w:t>
      </w:r>
      <w:r>
        <w:rPr>
          <w:rFonts w:hint="eastAsia" w:cs="仿宋" w:asciiTheme="minorEastAsia" w:hAnsiTheme="minorEastAsia"/>
          <w:lang w:eastAsia="zh-CN"/>
        </w:rPr>
        <w:t>：C1114725000006</w:t>
      </w:r>
      <w:r>
        <w:rPr>
          <w:rFonts w:hint="eastAsia" w:cs="仿宋" w:asciiTheme="minorEastAsia" w:hAnsiTheme="minorEastAsia"/>
        </w:rPr>
        <w:t>）（产品代码【Z256001】）产品要素进行调整，具体内容如下：</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firstLine="422" w:firstLineChars="200"/>
        <w:jc w:val="left"/>
        <w:textAlignment w:val="auto"/>
        <w:rPr>
          <w:rFonts w:hint="eastAsia" w:asciiTheme="minorEastAsia" w:hAnsiTheme="minorEastAsia" w:eastAsiaTheme="minorEastAsia" w:cstheme="minorEastAsia"/>
          <w:b/>
          <w:bCs/>
          <w:kern w:val="0"/>
          <w:szCs w:val="21"/>
          <w:highlight w:val="none"/>
          <w:lang w:val="en-US" w:eastAsia="zh-CN"/>
        </w:rPr>
      </w:pPr>
      <w:r>
        <w:rPr>
          <w:rFonts w:hint="eastAsia" w:asciiTheme="minorEastAsia" w:hAnsiTheme="minorEastAsia" w:cstheme="minorEastAsia"/>
          <w:b/>
          <w:bCs/>
          <w:kern w:val="0"/>
          <w:szCs w:val="21"/>
          <w:highlight w:val="none"/>
          <w:lang w:val="en-US" w:eastAsia="zh-CN"/>
        </w:rPr>
        <w:t>一、</w:t>
      </w:r>
      <w:r>
        <w:rPr>
          <w:rFonts w:hint="eastAsia" w:cs="仿宋" w:asciiTheme="minorEastAsia" w:hAnsiTheme="minorEastAsia"/>
          <w:b/>
          <w:bCs/>
          <w:lang w:val="en-US" w:eastAsia="zh-CN"/>
        </w:rPr>
        <w:t>具体产品：</w:t>
      </w:r>
      <w:r>
        <w:rPr>
          <w:rFonts w:hint="eastAsia" w:cs="仿宋" w:asciiTheme="minorEastAsia" w:hAnsiTheme="minorEastAsia"/>
          <w:b w:val="0"/>
          <w:bCs w:val="0"/>
        </w:rPr>
        <w:t>芙蓉·季开鑫2号3个月定开净值型人民币理财产品、芙蓉·半年赢2号6个月定开净值型人民币理财产品</w:t>
      </w:r>
      <w:r>
        <w:rPr>
          <w:rFonts w:hint="eastAsia" w:cs="仿宋" w:asciiTheme="minorEastAsia" w:hAnsiTheme="minorEastAsia"/>
          <w:b w:val="0"/>
          <w:bCs w:val="0"/>
          <w:lang w:eastAsia="zh-CN"/>
        </w:rPr>
        <w:t>、</w:t>
      </w:r>
      <w:r>
        <w:rPr>
          <w:rFonts w:hint="eastAsia" w:cs="仿宋" w:asciiTheme="minorEastAsia" w:hAnsiTheme="minorEastAsia"/>
          <w:b w:val="0"/>
          <w:bCs w:val="0"/>
        </w:rPr>
        <w:t>芙蓉·年年花开一年定开净值型人民币理财产品</w:t>
      </w:r>
      <w:r>
        <w:rPr>
          <w:rFonts w:hint="eastAsia" w:cs="仿宋" w:asciiTheme="minorEastAsia" w:hAnsiTheme="minorEastAsia"/>
          <w:b w:val="0"/>
          <w:bCs w:val="0"/>
          <w:lang w:eastAsia="zh-CN"/>
        </w:rPr>
        <w:t>、</w:t>
      </w:r>
      <w:r>
        <w:rPr>
          <w:rFonts w:hint="eastAsia" w:cs="仿宋" w:asciiTheme="minorEastAsia" w:hAnsiTheme="minorEastAsia"/>
          <w:b w:val="0"/>
          <w:bCs w:val="0"/>
        </w:rPr>
        <w:t>芙蓉·年稳赢2号一年定开净值型人民币理财产品</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firstLine="422" w:firstLineChars="200"/>
        <w:jc w:val="left"/>
        <w:textAlignment w:val="auto"/>
        <w:rPr>
          <w:rFonts w:hint="eastAsia" w:asciiTheme="minorEastAsia" w:hAnsiTheme="minorEastAsia" w:eastAsiaTheme="minorEastAsia" w:cstheme="minorEastAsia"/>
          <w:b/>
          <w:bCs/>
          <w:kern w:val="0"/>
          <w:szCs w:val="21"/>
          <w:highlight w:val="none"/>
          <w:lang w:val="en-US" w:eastAsia="zh-CN"/>
        </w:rPr>
      </w:pPr>
      <w:r>
        <w:rPr>
          <w:rFonts w:hint="eastAsia" w:asciiTheme="minorEastAsia" w:hAnsiTheme="minorEastAsia" w:eastAsiaTheme="minorEastAsia" w:cstheme="minorEastAsia"/>
          <w:b/>
          <w:bCs/>
          <w:kern w:val="0"/>
          <w:szCs w:val="21"/>
          <w:highlight w:val="none"/>
          <w:lang w:val="en-US" w:eastAsia="zh-CN"/>
        </w:rPr>
        <w:t>变更前：</w:t>
      </w:r>
    </w:p>
    <w:p>
      <w:pPr>
        <w:spacing w:line="240" w:lineRule="auto"/>
        <w:ind w:firstLine="420" w:firstLineChars="200"/>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超额业绩报酬：若每个封闭周期终止日，扣除销售手续费、产品托管费、固定管理费及相关税费后，理财资金收益折合年化收益率R超过当期年化业绩比较基准r下限a（以最新公布的为准），则江阴农商银行有权按以下超额累计方式计提比例收取当封闭周期的超额业绩报酬。</w:t>
      </w:r>
    </w:p>
    <w:p>
      <w:pPr>
        <w:spacing w:line="240" w:lineRule="auto"/>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超额业绩报酬计提前的封闭周期年化收益率：</w:t>
      </w:r>
    </w:p>
    <w:p>
      <w:pPr>
        <w:spacing w:line="240" w:lineRule="auto"/>
        <w:jc w:val="center"/>
        <w:rPr>
          <w:rFonts w:hint="eastAsia" w:asciiTheme="minorEastAsia" w:hAnsiTheme="minorEastAsia" w:eastAsiaTheme="minorEastAsia" w:cstheme="minorEastAsia"/>
          <w:szCs w:val="21"/>
          <w:highlight w:val="none"/>
        </w:rPr>
      </w:pPr>
      <m:oMath>
        <m:r>
          <m:rPr>
            <m:sty m:val="p"/>
          </m:rPr>
          <w:rPr>
            <w:rFonts w:hint="eastAsia" w:ascii="Cambria Math" w:hAnsi="Cambria Math" w:eastAsiaTheme="minorEastAsia" w:cstheme="minorEastAsia"/>
            <w:szCs w:val="21"/>
            <w:highlight w:val="none"/>
          </w:rPr>
          <m:t>R=</m:t>
        </m:r>
        <m:f>
          <m:fPr>
            <m:ctrlPr>
              <w:rPr>
                <w:rFonts w:hint="eastAsia" w:ascii="Cambria Math" w:hAnsi="Cambria Math" w:eastAsiaTheme="minorEastAsia" w:cstheme="minorEastAsia"/>
                <w:szCs w:val="21"/>
                <w:highlight w:val="none"/>
              </w:rPr>
            </m:ctrlPr>
          </m:fPr>
          <m:num>
            <m:d>
              <m:dPr>
                <m:ctrlPr>
                  <w:rPr>
                    <w:rFonts w:hint="eastAsia" w:ascii="Cambria Math" w:hAnsi="Cambria Math" w:eastAsiaTheme="minorEastAsia" w:cstheme="minorEastAsia"/>
                    <w:i/>
                    <w:szCs w:val="21"/>
                    <w:highlight w:val="none"/>
                  </w:rPr>
                </m:ctrlPr>
              </m:dPr>
              <m:e>
                <m:f>
                  <m:fPr>
                    <m:ctrlPr>
                      <w:rPr>
                        <w:rFonts w:hint="eastAsia" w:ascii="Cambria Math" w:hAnsi="Cambria Math" w:eastAsiaTheme="minorEastAsia" w:cstheme="minorEastAsia"/>
                        <w:i/>
                        <w:szCs w:val="21"/>
                        <w:highlight w:val="none"/>
                      </w:rPr>
                    </m:ctrlPr>
                  </m:fPr>
                  <m:num>
                    <m:sSub>
                      <m:sSubPr>
                        <m:ctrlPr>
                          <w:rPr>
                            <w:rFonts w:hint="eastAsia" w:ascii="Cambria Math" w:hAnsi="Cambria Math" w:eastAsiaTheme="minorEastAsia" w:cstheme="minorEastAsia"/>
                            <w:i/>
                            <w:szCs w:val="21"/>
                            <w:highlight w:val="none"/>
                          </w:rPr>
                        </m:ctrlPr>
                      </m:sSubPr>
                      <m:e>
                        <m:r>
                          <w:rPr>
                            <w:rFonts w:hint="eastAsia" w:ascii="Cambria Math" w:hAnsi="Cambria Math" w:eastAsiaTheme="minorEastAsia" w:cstheme="minorEastAsia"/>
                            <w:szCs w:val="21"/>
                            <w:highlight w:val="none"/>
                          </w:rPr>
                          <m:t>P</m:t>
                        </m:r>
                        <m:ctrlPr>
                          <w:rPr>
                            <w:rFonts w:hint="eastAsia" w:ascii="Cambria Math" w:hAnsi="Cambria Math" w:eastAsiaTheme="minorEastAsia" w:cstheme="minorEastAsia"/>
                            <w:i/>
                            <w:szCs w:val="21"/>
                            <w:highlight w:val="none"/>
                          </w:rPr>
                        </m:ctrlPr>
                      </m:e>
                      <m:sub>
                        <m:r>
                          <m:rPr>
                            <m:sty m:val="p"/>
                          </m:rPr>
                          <w:rPr>
                            <w:rFonts w:hint="eastAsia" w:ascii="Cambria Math" w:hAnsi="Cambria Math" w:eastAsiaTheme="minorEastAsia" w:cstheme="minorEastAsia"/>
                            <w:szCs w:val="21"/>
                            <w:highlight w:val="none"/>
                          </w:rPr>
                          <m:t>期末净值</m:t>
                        </m:r>
                        <m:ctrlPr>
                          <w:rPr>
                            <w:rFonts w:hint="eastAsia" w:ascii="Cambria Math" w:hAnsi="Cambria Math" w:eastAsiaTheme="minorEastAsia" w:cstheme="minorEastAsia"/>
                            <w:i/>
                            <w:szCs w:val="21"/>
                            <w:highlight w:val="none"/>
                          </w:rPr>
                        </m:ctrlPr>
                      </m:sub>
                    </m:sSub>
                    <m:r>
                      <w:rPr>
                        <w:rFonts w:hint="eastAsia" w:ascii="Cambria Math" w:hAnsi="Cambria Math" w:eastAsiaTheme="minorEastAsia" w:cstheme="minorEastAsia"/>
                        <w:szCs w:val="21"/>
                        <w:highlight w:val="none"/>
                      </w:rPr>
                      <m:t>-</m:t>
                    </m:r>
                    <m:sSub>
                      <m:sSubPr>
                        <m:ctrlPr>
                          <w:rPr>
                            <w:rFonts w:hint="eastAsia" w:ascii="Cambria Math" w:hAnsi="Cambria Math" w:eastAsiaTheme="minorEastAsia" w:cstheme="minorEastAsia"/>
                            <w:i/>
                            <w:szCs w:val="21"/>
                            <w:highlight w:val="none"/>
                          </w:rPr>
                        </m:ctrlPr>
                      </m:sSubPr>
                      <m:e>
                        <m:r>
                          <w:rPr>
                            <w:rFonts w:hint="eastAsia" w:ascii="Cambria Math" w:hAnsi="Cambria Math" w:eastAsiaTheme="minorEastAsia" w:cstheme="minorEastAsia"/>
                            <w:szCs w:val="21"/>
                            <w:highlight w:val="none"/>
                          </w:rPr>
                          <m:t>P</m:t>
                        </m:r>
                        <m:ctrlPr>
                          <w:rPr>
                            <w:rFonts w:hint="eastAsia" w:ascii="Cambria Math" w:hAnsi="Cambria Math" w:eastAsiaTheme="minorEastAsia" w:cstheme="minorEastAsia"/>
                            <w:i/>
                            <w:szCs w:val="21"/>
                            <w:highlight w:val="none"/>
                          </w:rPr>
                        </m:ctrlPr>
                      </m:e>
                      <m:sub>
                        <m:r>
                          <m:rPr>
                            <m:sty m:val="p"/>
                          </m:rPr>
                          <w:rPr>
                            <w:rFonts w:hint="eastAsia" w:ascii="Cambria Math" w:hAnsi="Cambria Math" w:eastAsiaTheme="minorEastAsia" w:cstheme="minorEastAsia"/>
                            <w:szCs w:val="21"/>
                            <w:highlight w:val="none"/>
                          </w:rPr>
                          <m:t>期初净值</m:t>
                        </m:r>
                        <m:ctrlPr>
                          <w:rPr>
                            <w:rFonts w:hint="eastAsia" w:ascii="Cambria Math" w:hAnsi="Cambria Math" w:eastAsiaTheme="minorEastAsia" w:cstheme="minorEastAsia"/>
                            <w:i/>
                            <w:szCs w:val="21"/>
                            <w:highlight w:val="none"/>
                          </w:rPr>
                        </m:ctrlPr>
                      </m:sub>
                    </m:sSub>
                    <m:ctrlPr>
                      <w:rPr>
                        <w:rFonts w:hint="eastAsia" w:ascii="Cambria Math" w:hAnsi="Cambria Math" w:eastAsiaTheme="minorEastAsia" w:cstheme="minorEastAsia"/>
                        <w:i/>
                        <w:szCs w:val="21"/>
                        <w:highlight w:val="none"/>
                      </w:rPr>
                    </m:ctrlPr>
                  </m:num>
                  <m:den>
                    <m:sSub>
                      <m:sSubPr>
                        <m:ctrlPr>
                          <w:rPr>
                            <w:rFonts w:hint="eastAsia" w:ascii="Cambria Math" w:hAnsi="Cambria Math" w:eastAsiaTheme="minorEastAsia" w:cstheme="minorEastAsia"/>
                            <w:i/>
                            <w:szCs w:val="21"/>
                            <w:highlight w:val="none"/>
                          </w:rPr>
                        </m:ctrlPr>
                      </m:sSubPr>
                      <m:e>
                        <m:r>
                          <w:rPr>
                            <w:rFonts w:hint="eastAsia" w:ascii="Cambria Math" w:hAnsi="Cambria Math" w:eastAsiaTheme="minorEastAsia" w:cstheme="minorEastAsia"/>
                            <w:szCs w:val="21"/>
                            <w:highlight w:val="none"/>
                          </w:rPr>
                          <m:t>P</m:t>
                        </m:r>
                        <m:ctrlPr>
                          <w:rPr>
                            <w:rFonts w:hint="eastAsia" w:ascii="Cambria Math" w:hAnsi="Cambria Math" w:eastAsiaTheme="minorEastAsia" w:cstheme="minorEastAsia"/>
                            <w:i/>
                            <w:szCs w:val="21"/>
                            <w:highlight w:val="none"/>
                          </w:rPr>
                        </m:ctrlPr>
                      </m:e>
                      <m:sub>
                        <m:r>
                          <m:rPr>
                            <m:sty m:val="p"/>
                          </m:rPr>
                          <w:rPr>
                            <w:rFonts w:hint="eastAsia" w:ascii="Cambria Math" w:hAnsi="Cambria Math" w:eastAsiaTheme="minorEastAsia" w:cstheme="minorEastAsia"/>
                            <w:szCs w:val="21"/>
                            <w:highlight w:val="none"/>
                          </w:rPr>
                          <m:t>期初净值</m:t>
                        </m:r>
                        <m:ctrlPr>
                          <w:rPr>
                            <w:rFonts w:hint="eastAsia" w:ascii="Cambria Math" w:hAnsi="Cambria Math" w:eastAsiaTheme="minorEastAsia" w:cstheme="minorEastAsia"/>
                            <w:i/>
                            <w:szCs w:val="21"/>
                            <w:highlight w:val="none"/>
                          </w:rPr>
                        </m:ctrlPr>
                      </m:sub>
                    </m:sSub>
                    <m:ctrlPr>
                      <w:rPr>
                        <w:rFonts w:hint="eastAsia" w:ascii="Cambria Math" w:hAnsi="Cambria Math" w:eastAsiaTheme="minorEastAsia" w:cstheme="minorEastAsia"/>
                        <w:i/>
                        <w:szCs w:val="21"/>
                        <w:highlight w:val="none"/>
                      </w:rPr>
                    </m:ctrlPr>
                  </m:den>
                </m:f>
                <m:ctrlPr>
                  <w:rPr>
                    <w:rFonts w:hint="eastAsia" w:ascii="Cambria Math" w:hAnsi="Cambria Math" w:eastAsiaTheme="minorEastAsia" w:cstheme="minorEastAsia"/>
                    <w:i/>
                    <w:szCs w:val="21"/>
                    <w:highlight w:val="none"/>
                  </w:rPr>
                </m:ctrlPr>
              </m:e>
            </m:d>
            <m:ctrlPr>
              <w:rPr>
                <w:rFonts w:hint="eastAsia" w:ascii="Cambria Math" w:hAnsi="Cambria Math" w:eastAsiaTheme="minorEastAsia" w:cstheme="minorEastAsia"/>
                <w:szCs w:val="21"/>
                <w:highlight w:val="none"/>
              </w:rPr>
            </m:ctrlPr>
          </m:num>
          <m:den>
            <m:r>
              <w:rPr>
                <w:rFonts w:hint="eastAsia" w:ascii="Cambria Math" w:hAnsi="Cambria Math" w:eastAsiaTheme="minorEastAsia" w:cstheme="minorEastAsia"/>
                <w:szCs w:val="21"/>
                <w:highlight w:val="none"/>
              </w:rPr>
              <m:t>D</m:t>
            </m:r>
            <m:ctrlPr>
              <w:rPr>
                <w:rFonts w:hint="eastAsia" w:ascii="Cambria Math" w:hAnsi="Cambria Math" w:eastAsiaTheme="minorEastAsia" w:cstheme="minorEastAsia"/>
                <w:szCs w:val="21"/>
                <w:highlight w:val="none"/>
              </w:rPr>
            </m:ctrlPr>
          </m:den>
        </m:f>
      </m:oMath>
      <w:r>
        <w:rPr>
          <w:rFonts w:hint="eastAsia" w:asciiTheme="minorEastAsia" w:hAnsiTheme="minorEastAsia" w:eastAsiaTheme="minorEastAsia" w:cstheme="minorEastAsia"/>
          <w:szCs w:val="21"/>
          <w:highlight w:val="none"/>
        </w:rPr>
        <w:t>×365</w:t>
      </w:r>
    </w:p>
    <w:p>
      <w:pPr>
        <w:spacing w:line="240" w:lineRule="auto"/>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其中，</w:t>
      </w:r>
      <m:oMath>
        <m:sSub>
          <m:sSubPr>
            <m:ctrlPr>
              <w:rPr>
                <w:rFonts w:hint="eastAsia" w:ascii="Cambria Math" w:hAnsi="Cambria Math" w:eastAsiaTheme="minorEastAsia" w:cstheme="minorEastAsia"/>
                <w:i/>
                <w:szCs w:val="21"/>
                <w:highlight w:val="none"/>
              </w:rPr>
            </m:ctrlPr>
          </m:sSubPr>
          <m:e>
            <m:r>
              <w:rPr>
                <w:rFonts w:hint="eastAsia" w:ascii="Cambria Math" w:hAnsi="Cambria Math" w:eastAsiaTheme="minorEastAsia" w:cstheme="minorEastAsia"/>
                <w:szCs w:val="21"/>
                <w:highlight w:val="none"/>
              </w:rPr>
              <m:t>P</m:t>
            </m:r>
            <m:ctrlPr>
              <w:rPr>
                <w:rFonts w:hint="eastAsia" w:ascii="Cambria Math" w:hAnsi="Cambria Math" w:eastAsiaTheme="minorEastAsia" w:cstheme="minorEastAsia"/>
                <w:i/>
                <w:szCs w:val="21"/>
                <w:highlight w:val="none"/>
              </w:rPr>
            </m:ctrlPr>
          </m:e>
          <m:sub>
            <m:r>
              <m:rPr>
                <m:sty m:val="p"/>
              </m:rPr>
              <w:rPr>
                <w:rFonts w:hint="eastAsia" w:ascii="Cambria Math" w:hAnsi="Cambria Math" w:eastAsiaTheme="minorEastAsia" w:cstheme="minorEastAsia"/>
                <w:szCs w:val="21"/>
                <w:highlight w:val="none"/>
              </w:rPr>
              <m:t>期末净值</m:t>
            </m:r>
            <m:ctrlPr>
              <w:rPr>
                <w:rFonts w:hint="eastAsia" w:ascii="Cambria Math" w:hAnsi="Cambria Math" w:eastAsiaTheme="minorEastAsia" w:cstheme="minorEastAsia"/>
                <w:i/>
                <w:szCs w:val="21"/>
                <w:highlight w:val="none"/>
              </w:rPr>
            </m:ctrlPr>
          </m:sub>
        </m:sSub>
      </m:oMath>
      <w:r>
        <w:rPr>
          <w:rFonts w:hint="eastAsia" w:asciiTheme="minorEastAsia" w:hAnsiTheme="minorEastAsia" w:eastAsiaTheme="minorEastAsia" w:cstheme="minorEastAsia"/>
          <w:kern w:val="0"/>
          <w:szCs w:val="21"/>
          <w:highlight w:val="none"/>
        </w:rPr>
        <w:t xml:space="preserve">表示当期投资周期期末超额业绩报酬计提前的单位净值，即投资周期终止日前一个工作日的超额业绩报酬计提前的理财产品净值， </w:t>
      </w:r>
      <m:oMath>
        <m:sSub>
          <m:sSubPr>
            <m:ctrlPr>
              <w:rPr>
                <w:rFonts w:hint="eastAsia" w:ascii="Cambria Math" w:hAnsi="Cambria Math" w:eastAsiaTheme="minorEastAsia" w:cstheme="minorEastAsia"/>
                <w:i/>
                <w:szCs w:val="21"/>
                <w:highlight w:val="none"/>
              </w:rPr>
            </m:ctrlPr>
          </m:sSubPr>
          <m:e>
            <m:r>
              <w:rPr>
                <w:rFonts w:hint="eastAsia" w:ascii="Cambria Math" w:hAnsi="Cambria Math" w:eastAsiaTheme="minorEastAsia" w:cstheme="minorEastAsia"/>
                <w:szCs w:val="21"/>
                <w:highlight w:val="none"/>
              </w:rPr>
              <m:t>P</m:t>
            </m:r>
            <m:ctrlPr>
              <w:rPr>
                <w:rFonts w:hint="eastAsia" w:ascii="Cambria Math" w:hAnsi="Cambria Math" w:eastAsiaTheme="minorEastAsia" w:cstheme="minorEastAsia"/>
                <w:i/>
                <w:szCs w:val="21"/>
                <w:highlight w:val="none"/>
              </w:rPr>
            </m:ctrlPr>
          </m:e>
          <m:sub>
            <m:r>
              <m:rPr>
                <m:sty m:val="p"/>
              </m:rPr>
              <w:rPr>
                <w:rFonts w:hint="eastAsia" w:ascii="Cambria Math" w:hAnsi="Cambria Math" w:eastAsiaTheme="minorEastAsia" w:cstheme="minorEastAsia"/>
                <w:szCs w:val="21"/>
                <w:highlight w:val="none"/>
              </w:rPr>
              <m:t>期初净值</m:t>
            </m:r>
            <m:ctrlPr>
              <w:rPr>
                <w:rFonts w:hint="eastAsia" w:ascii="Cambria Math" w:hAnsi="Cambria Math" w:eastAsiaTheme="minorEastAsia" w:cstheme="minorEastAsia"/>
                <w:i/>
                <w:szCs w:val="21"/>
                <w:highlight w:val="none"/>
              </w:rPr>
            </m:ctrlPr>
          </m:sub>
        </m:sSub>
      </m:oMath>
      <w:r>
        <w:rPr>
          <w:rFonts w:hint="eastAsia" w:asciiTheme="minorEastAsia" w:hAnsiTheme="minorEastAsia" w:eastAsiaTheme="minorEastAsia" w:cstheme="minorEastAsia"/>
          <w:kern w:val="0"/>
          <w:szCs w:val="21"/>
          <w:highlight w:val="none"/>
        </w:rPr>
        <w:t>表示当期投资周期的申购单位净值，即申购确认日前一个工作日的理财产品净值；D表示当期投资周期，即产品固定持有天数；r表示当期份额确认日的年化业绩比较基准；b表示当期份额确认日的年化业绩比较基准上限；a表示当期份额确认日的年化业绩比较基准下限。</w:t>
      </w:r>
    </w:p>
    <w:p>
      <w:pPr>
        <w:spacing w:line="240" w:lineRule="auto"/>
        <w:ind w:firstLine="422" w:firstLineChars="200"/>
        <w:jc w:val="left"/>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超额业绩报酬计提比例公式如下：</w:t>
      </w:r>
    </w:p>
    <w:tbl>
      <w:tblPr>
        <w:tblStyle w:val="5"/>
        <w:tblW w:w="59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4"/>
        <w:gridCol w:w="20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jc w:val="left"/>
              <w:rPr>
                <w:rFonts w:hint="eastAsia" w:asciiTheme="minorEastAsia" w:hAnsiTheme="minorEastAsia" w:eastAsiaTheme="minorEastAsia" w:cstheme="minorEastAsia"/>
                <w:kern w:val="0"/>
                <w:sz w:val="15"/>
                <w:szCs w:val="15"/>
                <w:highlight w:val="none"/>
              </w:rPr>
            </w:pPr>
            <w:r>
              <w:rPr>
                <w:rFonts w:hint="eastAsia" w:asciiTheme="minorEastAsia" w:hAnsiTheme="minorEastAsia" w:eastAsiaTheme="minorEastAsia" w:cstheme="minorEastAsia"/>
                <w:kern w:val="0"/>
                <w:sz w:val="15"/>
                <w:szCs w:val="15"/>
                <w:highlight w:val="none"/>
              </w:rPr>
              <w:t>超额业绩报酬计提前的当日年化收益率</w:t>
            </w:r>
          </w:p>
        </w:tc>
        <w:tc>
          <w:tcPr>
            <w:tcW w:w="2044" w:type="dxa"/>
          </w:tcPr>
          <w:p>
            <w:pPr>
              <w:jc w:val="left"/>
              <w:rPr>
                <w:rFonts w:hint="eastAsia" w:asciiTheme="minorEastAsia" w:hAnsiTheme="minorEastAsia" w:eastAsiaTheme="minorEastAsia" w:cstheme="minorEastAsia"/>
                <w:kern w:val="0"/>
                <w:sz w:val="15"/>
                <w:szCs w:val="15"/>
                <w:highlight w:val="none"/>
              </w:rPr>
            </w:pPr>
            <w:r>
              <w:rPr>
                <w:rFonts w:hint="eastAsia" w:asciiTheme="minorEastAsia" w:hAnsiTheme="minorEastAsia" w:eastAsiaTheme="minorEastAsia" w:cstheme="minorEastAsia"/>
                <w:kern w:val="0"/>
                <w:sz w:val="15"/>
                <w:szCs w:val="15"/>
                <w:highlight w:val="none"/>
              </w:rPr>
              <w:t>超额业绩报酬（I）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R≤a</w:t>
            </w:r>
          </w:p>
        </w:tc>
        <w:tc>
          <w:tcPr>
            <w:tcW w:w="2044" w:type="dxa"/>
          </w:tcPr>
          <w:p>
            <w:pPr>
              <w:jc w:val="left"/>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I=</w:t>
            </w:r>
            <w:r>
              <w:rPr>
                <w:rFonts w:hint="eastAsia" w:asciiTheme="minorEastAsia" w:hAnsiTheme="minorEastAsia" w:eastAsiaTheme="minorEastAsia" w:cstheme="minorEastAsia"/>
                <w:kern w:val="0"/>
                <w:szCs w:val="21"/>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a＜R</w:t>
            </w:r>
            <w:r>
              <w:rPr>
                <w:rFonts w:hint="eastAsia" w:asciiTheme="minorEastAsia" w:hAnsiTheme="minorEastAsia" w:eastAsiaTheme="minorEastAsia" w:cstheme="minorEastAsia"/>
                <w:kern w:val="0"/>
                <w:szCs w:val="21"/>
                <w:highlight w:val="none"/>
                <w:vertAlign w:val="subscript"/>
              </w:rPr>
              <w:t>1</w:t>
            </w:r>
            <w:r>
              <w:rPr>
                <w:rFonts w:hint="eastAsia" w:asciiTheme="minorEastAsia" w:hAnsiTheme="minorEastAsia" w:eastAsiaTheme="minorEastAsia" w:cstheme="minorEastAsia"/>
                <w:kern w:val="0"/>
                <w:szCs w:val="21"/>
                <w:highlight w:val="none"/>
              </w:rPr>
              <w:t>≤b</w:t>
            </w:r>
          </w:p>
        </w:tc>
        <w:tc>
          <w:tcPr>
            <w:tcW w:w="2044" w:type="dxa"/>
          </w:tcPr>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color w:val="000000"/>
                <w:kern w:val="0"/>
                <w:szCs w:val="21"/>
                <w:highlight w:val="none"/>
              </w:rPr>
              <w:t>I</w:t>
            </w:r>
            <w:r>
              <w:rPr>
                <w:rFonts w:hint="eastAsia" w:asciiTheme="minorEastAsia" w:hAnsiTheme="minorEastAsia" w:eastAsiaTheme="minorEastAsia" w:cstheme="minorEastAsia"/>
                <w:color w:val="000000"/>
                <w:kern w:val="0"/>
                <w:szCs w:val="21"/>
                <w:highlight w:val="none"/>
                <w:vertAlign w:val="subscript"/>
              </w:rPr>
              <w:t>1</w:t>
            </w: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kern w:val="0"/>
                <w:szCs w:val="21"/>
                <w:highlight w:val="none"/>
                <w:vertAlign w:val="subscript"/>
              </w:rPr>
              <w:t>1</w:t>
            </w:r>
            <w:r>
              <w:rPr>
                <w:rFonts w:hint="eastAsia" w:asciiTheme="minorEastAsia" w:hAnsiTheme="minorEastAsia" w:eastAsiaTheme="minorEastAsia" w:cstheme="minorEastAsia"/>
                <w:kern w:val="0"/>
                <w:szCs w:val="21"/>
                <w:highlight w:val="none"/>
              </w:rPr>
              <w:t>-a)×50%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b＜R</w:t>
            </w:r>
            <w:r>
              <w:rPr>
                <w:rFonts w:hint="eastAsia" w:asciiTheme="minorEastAsia" w:hAnsiTheme="minorEastAsia" w:eastAsiaTheme="minorEastAsia" w:cstheme="minorEastAsia"/>
                <w:kern w:val="0"/>
                <w:szCs w:val="21"/>
                <w:highlight w:val="none"/>
                <w:vertAlign w:val="subscript"/>
              </w:rPr>
              <w:t>2</w:t>
            </w:r>
          </w:p>
        </w:tc>
        <w:tc>
          <w:tcPr>
            <w:tcW w:w="2044" w:type="dxa"/>
          </w:tcPr>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color w:val="000000"/>
                <w:kern w:val="0"/>
                <w:szCs w:val="21"/>
                <w:highlight w:val="none"/>
              </w:rPr>
              <w:t>I</w:t>
            </w:r>
            <w:r>
              <w:rPr>
                <w:rFonts w:hint="eastAsia" w:asciiTheme="minorEastAsia" w:hAnsiTheme="minorEastAsia" w:eastAsiaTheme="minorEastAsia" w:cstheme="minorEastAsia"/>
                <w:color w:val="000000"/>
                <w:kern w:val="0"/>
                <w:szCs w:val="21"/>
                <w:highlight w:val="none"/>
                <w:vertAlign w:val="subscript"/>
              </w:rPr>
              <w:t>2</w:t>
            </w: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kern w:val="0"/>
                <w:szCs w:val="21"/>
                <w:highlight w:val="none"/>
                <w:vertAlign w:val="subscript"/>
              </w:rPr>
              <w:t>2</w:t>
            </w:r>
            <w:r>
              <w:rPr>
                <w:rFonts w:hint="eastAsia" w:asciiTheme="minorEastAsia" w:hAnsiTheme="minorEastAsia" w:eastAsiaTheme="minorEastAsia" w:cstheme="minorEastAsia"/>
                <w:kern w:val="0"/>
                <w:szCs w:val="21"/>
                <w:highlight w:val="none"/>
              </w:rPr>
              <w:t>-b)×80%</w:t>
            </w:r>
          </w:p>
        </w:tc>
      </w:tr>
    </w:tbl>
    <w:p>
      <w:pPr>
        <w:spacing w:line="240" w:lineRule="auto"/>
        <w:jc w:val="left"/>
        <w:rPr>
          <w:rFonts w:hint="eastAsia" w:asciiTheme="minorEastAsia" w:hAnsiTheme="minorEastAsia" w:eastAsiaTheme="minorEastAsia" w:cstheme="minorEastAsia"/>
          <w:kern w:val="0"/>
          <w:szCs w:val="21"/>
          <w:highlight w:val="none"/>
          <w:lang w:eastAsia="zh-CN"/>
        </w:rPr>
      </w:pPr>
      <w:r>
        <w:rPr>
          <w:rFonts w:hint="eastAsia" w:asciiTheme="minorEastAsia" w:hAnsiTheme="minorEastAsia" w:eastAsiaTheme="minorEastAsia" w:cstheme="minorEastAsia"/>
          <w:kern w:val="0"/>
          <w:szCs w:val="21"/>
          <w:highlight w:val="none"/>
        </w:rPr>
        <w:t>其中，I表示计提的超额业绩报酬比例，计提方式采用超额累进方式，例如当R=4.0%，a=2.70%，b=3.0%,则江阴农商银行收取的超额业绩报酬比例为I=</w:t>
      </w:r>
      <w:r>
        <w:rPr>
          <w:rFonts w:hint="eastAsia" w:asciiTheme="minorEastAsia" w:hAnsiTheme="minorEastAsia" w:eastAsiaTheme="minorEastAsia" w:cstheme="minorEastAsia"/>
          <w:color w:val="000000"/>
          <w:kern w:val="0"/>
          <w:szCs w:val="21"/>
          <w:highlight w:val="none"/>
        </w:rPr>
        <w:t>I</w:t>
      </w:r>
      <w:r>
        <w:rPr>
          <w:rFonts w:hint="eastAsia" w:asciiTheme="minorEastAsia" w:hAnsiTheme="minorEastAsia" w:eastAsiaTheme="minorEastAsia" w:cstheme="minorEastAsia"/>
          <w:color w:val="000000"/>
          <w:kern w:val="0"/>
          <w:szCs w:val="21"/>
          <w:highlight w:val="none"/>
          <w:vertAlign w:val="subscript"/>
        </w:rPr>
        <w:t>1</w:t>
      </w:r>
      <w:r>
        <w:rPr>
          <w:rFonts w:hint="eastAsia" w:asciiTheme="minorEastAsia" w:hAnsiTheme="minorEastAsia" w:eastAsiaTheme="minorEastAsia" w:cstheme="minorEastAsia"/>
          <w:color w:val="000000"/>
          <w:kern w:val="0"/>
          <w:szCs w:val="21"/>
          <w:highlight w:val="none"/>
        </w:rPr>
        <w:t>+</w:t>
      </w:r>
      <w:r>
        <w:rPr>
          <w:rFonts w:hint="eastAsia" w:asciiTheme="minorEastAsia" w:hAnsiTheme="minorEastAsia" w:eastAsiaTheme="minorEastAsia" w:cstheme="minorEastAsia"/>
          <w:kern w:val="0"/>
          <w:szCs w:val="21"/>
          <w:highlight w:val="none"/>
        </w:rPr>
        <w:t>I</w:t>
      </w:r>
      <w:r>
        <w:rPr>
          <w:rFonts w:hint="eastAsia" w:asciiTheme="minorEastAsia" w:hAnsiTheme="minorEastAsia" w:eastAsiaTheme="minorEastAsia" w:cstheme="minorEastAsia"/>
          <w:kern w:val="0"/>
          <w:szCs w:val="21"/>
          <w:highlight w:val="none"/>
          <w:vertAlign w:val="subscript"/>
        </w:rPr>
        <w:t>2</w:t>
      </w:r>
      <w:r>
        <w:rPr>
          <w:rFonts w:hint="eastAsia" w:asciiTheme="minorEastAsia" w:hAnsiTheme="minorEastAsia" w:eastAsiaTheme="minorEastAsia" w:cstheme="minorEastAsia"/>
          <w:kern w:val="0"/>
          <w:szCs w:val="21"/>
          <w:highlight w:val="none"/>
        </w:rPr>
        <w:t>=0.95%。</w:t>
      </w:r>
    </w:p>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color w:val="000000"/>
          <w:kern w:val="0"/>
          <w:szCs w:val="21"/>
          <w:highlight w:val="none"/>
        </w:rPr>
        <w:t>情形下，</w:t>
      </w:r>
      <w:r>
        <w:rPr>
          <w:rFonts w:hint="eastAsia" w:asciiTheme="minorEastAsia" w:hAnsiTheme="minorEastAsia" w:eastAsiaTheme="minorEastAsia" w:cstheme="minorEastAsia"/>
          <w:kern w:val="0"/>
          <w:szCs w:val="21"/>
          <w:highlight w:val="none"/>
        </w:rPr>
        <w:t>不再计提超额业绩报酬</w:t>
      </w:r>
    </w:p>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kern w:val="0"/>
          <w:szCs w:val="21"/>
          <w:highlight w:val="none"/>
          <w:vertAlign w:val="subscript"/>
        </w:rPr>
        <w:t>1</w:t>
      </w:r>
      <w:r>
        <w:rPr>
          <w:rFonts w:hint="eastAsia" w:asciiTheme="minorEastAsia" w:hAnsiTheme="minorEastAsia" w:eastAsiaTheme="minorEastAsia" w:cstheme="minorEastAsia"/>
          <w:color w:val="000000"/>
          <w:kern w:val="0"/>
          <w:szCs w:val="21"/>
          <w:highlight w:val="none"/>
        </w:rPr>
        <w:t>情形下，</w:t>
      </w:r>
      <w:r>
        <w:rPr>
          <w:rFonts w:hint="eastAsia" w:asciiTheme="minorEastAsia" w:hAnsiTheme="minorEastAsia" w:eastAsiaTheme="minorEastAsia" w:cstheme="minorEastAsia"/>
          <w:kern w:val="0"/>
          <w:szCs w:val="21"/>
          <w:highlight w:val="none"/>
        </w:rPr>
        <w:t>超额业绩报酬=[当期超额报酬计提前净值-当期申购金额×（1+a×D÷365）]×50%</w:t>
      </w:r>
    </w:p>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kern w:val="0"/>
          <w:szCs w:val="21"/>
          <w:highlight w:val="none"/>
          <w:vertAlign w:val="subscript"/>
        </w:rPr>
        <w:t>2</w:t>
      </w:r>
      <w:r>
        <w:rPr>
          <w:rFonts w:hint="eastAsia" w:asciiTheme="minorEastAsia" w:hAnsiTheme="minorEastAsia" w:eastAsiaTheme="minorEastAsia" w:cstheme="minorEastAsia"/>
          <w:color w:val="000000"/>
          <w:kern w:val="0"/>
          <w:szCs w:val="21"/>
          <w:highlight w:val="none"/>
        </w:rPr>
        <w:t>情形下，</w:t>
      </w:r>
      <w:r>
        <w:rPr>
          <w:rFonts w:hint="eastAsia" w:asciiTheme="minorEastAsia" w:hAnsiTheme="minorEastAsia" w:eastAsiaTheme="minorEastAsia" w:cstheme="minorEastAsia"/>
          <w:kern w:val="0"/>
          <w:szCs w:val="21"/>
          <w:highlight w:val="none"/>
        </w:rPr>
        <w:t>超额业绩报酬=[当期超额报酬计提前净值-当期申购金额×（1+b×D÷365)]×80%+[当期申购金额×（1+b×D÷365)-当期申购金额×（1+a×D÷365）]×50%</w:t>
      </w:r>
    </w:p>
    <w:p>
      <w:pP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江阴农商银行有权根据市场情况、产品运作情况对本产品的各项费用费率、年化业绩比较基准以及超额业绩报酬计提比例进行调整，并至少于调整日之前2个工作日进行公告。计算过程小数位取舍以管理人系统计算规则为准。</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79" w:lineRule="auto"/>
        <w:ind w:firstLine="422" w:firstLineChars="200"/>
        <w:textAlignment w:val="auto"/>
        <w:rPr>
          <w:rFonts w:hint="eastAsia" w:asciiTheme="minorEastAsia" w:hAnsiTheme="minorEastAsia" w:eastAsiaTheme="minorEastAsia" w:cstheme="minorEastAsia"/>
          <w:kern w:val="0"/>
          <w:szCs w:val="21"/>
          <w:highlight w:val="none"/>
          <w:lang w:val="en-US" w:eastAsia="zh-CN"/>
        </w:rPr>
      </w:pPr>
      <w:r>
        <w:rPr>
          <w:rFonts w:hint="eastAsia" w:asciiTheme="minorEastAsia" w:hAnsiTheme="minorEastAsia" w:eastAsiaTheme="minorEastAsia" w:cstheme="minorEastAsia"/>
          <w:b/>
          <w:bCs/>
          <w:kern w:val="0"/>
          <w:szCs w:val="21"/>
          <w:highlight w:val="none"/>
          <w:lang w:val="en-US" w:eastAsia="zh-CN"/>
        </w:rPr>
        <w:t>变更后</w:t>
      </w:r>
      <w:r>
        <w:rPr>
          <w:rFonts w:hint="eastAsia" w:asciiTheme="minorEastAsia" w:hAnsiTheme="minorEastAsia" w:eastAsiaTheme="minorEastAsia" w:cstheme="minorEastAsia"/>
          <w:kern w:val="0"/>
          <w:szCs w:val="21"/>
          <w:highlight w:val="none"/>
          <w:lang w:val="en-US" w:eastAsia="zh-CN"/>
        </w:rPr>
        <w:t>：</w:t>
      </w:r>
    </w:p>
    <w:tbl>
      <w:tblPr>
        <w:tblStyle w:val="5"/>
        <w:tblpPr w:leftFromText="180" w:rightFromText="180" w:vertAnchor="text" w:horzAnchor="page" w:tblpX="1847" w:tblpY="302"/>
        <w:tblOverlap w:val="never"/>
        <w:tblW w:w="8762"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414"/>
        <w:gridCol w:w="734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240" w:hRule="atLeast"/>
          <w:tblCellSpacing w:w="0" w:type="dxa"/>
        </w:trPr>
        <w:tc>
          <w:tcPr>
            <w:tcW w:w="1414" w:type="dxa"/>
            <w:tcBorders>
              <w:top w:val="outset" w:color="auto" w:sz="6" w:space="0"/>
              <w:left w:val="outset" w:color="auto" w:sz="6" w:space="0"/>
              <w:bottom w:val="outset" w:color="auto" w:sz="6" w:space="0"/>
              <w:right w:val="outset" w:color="auto" w:sz="6" w:space="0"/>
            </w:tcBorders>
            <w:vAlign w:val="center"/>
          </w:tcPr>
          <w:p>
            <w:pPr>
              <w:widowControl/>
              <w:jc w:val="center"/>
              <w:rPr>
                <w:rFonts w:hint="eastAsia" w:asciiTheme="minorEastAsia" w:hAnsiTheme="minorEastAsia" w:eastAsiaTheme="minorEastAsia" w:cstheme="minorEastAsia"/>
                <w:kern w:val="0"/>
                <w:sz w:val="21"/>
                <w:szCs w:val="21"/>
                <w:highlight w:val="none"/>
                <w:lang w:val="en-US"/>
              </w:rPr>
            </w:pPr>
            <w:r>
              <w:rPr>
                <w:rFonts w:hint="eastAsia" w:asciiTheme="minorEastAsia" w:hAnsiTheme="minorEastAsia" w:eastAsiaTheme="minorEastAsia" w:cstheme="minorEastAsia"/>
                <w:kern w:val="0"/>
                <w:sz w:val="21"/>
                <w:szCs w:val="21"/>
                <w:highlight w:val="none"/>
                <w:lang w:eastAsia="zh-CN"/>
              </w:rPr>
              <w:t>浮动管理费</w:t>
            </w:r>
            <w:r>
              <w:rPr>
                <w:rFonts w:hint="eastAsia" w:asciiTheme="minorEastAsia" w:hAnsiTheme="minorEastAsia" w:eastAsiaTheme="minorEastAsia" w:cstheme="minorEastAsia"/>
                <w:kern w:val="0"/>
                <w:sz w:val="21"/>
                <w:szCs w:val="21"/>
                <w:highlight w:val="none"/>
                <w:lang w:val="en-US" w:eastAsia="zh-CN"/>
              </w:rPr>
              <w:t>计提基准</w:t>
            </w:r>
          </w:p>
        </w:tc>
        <w:tc>
          <w:tcPr>
            <w:tcW w:w="7348" w:type="dxa"/>
            <w:tcBorders>
              <w:top w:val="outset" w:color="auto" w:sz="6" w:space="0"/>
              <w:left w:val="outset" w:color="auto" w:sz="6" w:space="0"/>
              <w:bottom w:val="outset" w:color="auto" w:sz="6" w:space="0"/>
              <w:right w:val="outset" w:color="auto" w:sz="6" w:space="0"/>
            </w:tcBorders>
            <w:vAlign w:val="center"/>
          </w:tcPr>
          <w:p>
            <w:pPr>
              <w:jc w:val="left"/>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浮动管理计提基准为c和d: c=(a+b)/2; d=b。</w:t>
            </w:r>
          </w:p>
          <w:p>
            <w:pPr>
              <w:jc w:val="left"/>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其中：</w:t>
            </w:r>
            <w:r>
              <w:rPr>
                <w:rFonts w:hint="eastAsia" w:asciiTheme="minorEastAsia" w:hAnsiTheme="minorEastAsia" w:eastAsiaTheme="minorEastAsia" w:cstheme="minorEastAsia"/>
                <w:kern w:val="0"/>
                <w:sz w:val="21"/>
                <w:szCs w:val="21"/>
                <w:highlight w:val="none"/>
              </w:rPr>
              <w:t>a表示当期份额确认日的年化业绩比较基准下限</w:t>
            </w:r>
            <w:r>
              <w:rPr>
                <w:rFonts w:hint="eastAsia" w:asciiTheme="minorEastAsia" w:hAnsiTheme="minorEastAsia" w:eastAsiaTheme="minorEastAsia" w:cstheme="minorEastAsia"/>
                <w:kern w:val="0"/>
                <w:sz w:val="21"/>
                <w:szCs w:val="21"/>
                <w:highlight w:val="none"/>
                <w:lang w:eastAsia="zh-CN"/>
              </w:rPr>
              <w:t>；</w:t>
            </w:r>
            <w:r>
              <w:rPr>
                <w:rFonts w:hint="eastAsia" w:asciiTheme="minorEastAsia" w:hAnsiTheme="minorEastAsia" w:eastAsiaTheme="minorEastAsia" w:cstheme="minorEastAsia"/>
                <w:kern w:val="0"/>
                <w:sz w:val="21"/>
                <w:szCs w:val="21"/>
                <w:highlight w:val="none"/>
              </w:rPr>
              <w:t>b表示当期份额确认日的年化业绩比较基准上限;（</w:t>
            </w:r>
            <w:r>
              <w:rPr>
                <w:rFonts w:hint="eastAsia" w:asciiTheme="minorEastAsia" w:hAnsiTheme="minorEastAsia" w:eastAsiaTheme="minorEastAsia" w:cstheme="minorEastAsia"/>
                <w:kern w:val="0"/>
                <w:sz w:val="21"/>
                <w:szCs w:val="21"/>
                <w:highlight w:val="none"/>
                <w:lang w:val="en-US" w:eastAsia="zh-CN"/>
              </w:rPr>
              <w:t>a和b都</w:t>
            </w:r>
            <w:r>
              <w:rPr>
                <w:rFonts w:hint="eastAsia" w:asciiTheme="minorEastAsia" w:hAnsiTheme="minorEastAsia" w:eastAsiaTheme="minorEastAsia" w:cstheme="minorEastAsia"/>
                <w:kern w:val="0"/>
                <w:sz w:val="21"/>
                <w:szCs w:val="21"/>
                <w:highlight w:val="none"/>
              </w:rPr>
              <w:t>以最新公布的为准）</w:t>
            </w:r>
            <w:r>
              <w:rPr>
                <w:rFonts w:hint="eastAsia" w:asciiTheme="minorEastAsia" w:hAnsiTheme="minorEastAsia" w:eastAsiaTheme="minorEastAsia" w:cstheme="minorEastAsia"/>
                <w:kern w:val="0"/>
                <w:sz w:val="21"/>
                <w:szCs w:val="21"/>
                <w:highlight w:val="none"/>
                <w:lang w:val="en-US" w:eastAsia="zh-CN"/>
              </w:rPr>
              <w:t>。</w:t>
            </w:r>
          </w:p>
        </w:tc>
      </w:tr>
    </w:tbl>
    <w:p>
      <w:pPr>
        <w:rPr>
          <w:rFonts w:hint="eastAsia" w:asciiTheme="minorEastAsia" w:hAnsiTheme="minorEastAsia" w:eastAsiaTheme="minorEastAsia" w:cstheme="minorEastAsia"/>
          <w:kern w:val="0"/>
          <w:szCs w:val="21"/>
          <w:highlight w:val="none"/>
        </w:rPr>
      </w:pPr>
    </w:p>
    <w:p>
      <w:pPr>
        <w:spacing w:line="240" w:lineRule="auto"/>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eastAsia="zh-CN"/>
        </w:rPr>
        <w:t>浮动管理费</w:t>
      </w:r>
      <w:r>
        <w:rPr>
          <w:rFonts w:hint="eastAsia" w:asciiTheme="minorEastAsia" w:hAnsiTheme="minorEastAsia" w:eastAsiaTheme="minorEastAsia" w:cstheme="minorEastAsia"/>
          <w:kern w:val="0"/>
          <w:szCs w:val="21"/>
          <w:highlight w:val="none"/>
        </w:rPr>
        <w:t>：若每个封闭周期终止日，扣除销售手续费、产品托管费、固定管理费及相关税费后，理财资金收益折合年化收益率R超过</w:t>
      </w:r>
      <w:r>
        <w:rPr>
          <w:rFonts w:hint="eastAsia" w:asciiTheme="minorEastAsia" w:hAnsiTheme="minorEastAsia" w:eastAsiaTheme="minorEastAsia" w:cstheme="minorEastAsia"/>
          <w:kern w:val="0"/>
          <w:szCs w:val="21"/>
          <w:highlight w:val="none"/>
          <w:lang w:val="en-US" w:eastAsia="zh-CN"/>
        </w:rPr>
        <w:t>计提基准c</w:t>
      </w:r>
      <w:r>
        <w:rPr>
          <w:rFonts w:hint="eastAsia" w:asciiTheme="minorEastAsia" w:hAnsiTheme="minorEastAsia" w:eastAsiaTheme="minorEastAsia" w:cstheme="minorEastAsia"/>
          <w:kern w:val="0"/>
          <w:szCs w:val="21"/>
          <w:highlight w:val="none"/>
        </w:rPr>
        <w:t>，则江阴农商银行有权按以下超额累计方式计提比例收取当封闭周期的</w:t>
      </w:r>
      <w:r>
        <w:rPr>
          <w:rFonts w:hint="eastAsia" w:asciiTheme="minorEastAsia" w:hAnsiTheme="minorEastAsia" w:eastAsiaTheme="minorEastAsia" w:cstheme="minorEastAsia"/>
          <w:kern w:val="0"/>
          <w:szCs w:val="21"/>
          <w:highlight w:val="none"/>
          <w:lang w:eastAsia="zh-CN"/>
        </w:rPr>
        <w:t>浮动管理费</w:t>
      </w:r>
      <w:r>
        <w:rPr>
          <w:rFonts w:hint="eastAsia" w:asciiTheme="minorEastAsia" w:hAnsiTheme="minorEastAsia" w:eastAsiaTheme="minorEastAsia" w:cstheme="minorEastAsia"/>
          <w:kern w:val="0"/>
          <w:szCs w:val="21"/>
          <w:highlight w:val="none"/>
        </w:rPr>
        <w:t>。</w:t>
      </w:r>
    </w:p>
    <w:p>
      <w:pPr>
        <w:spacing w:line="240" w:lineRule="auto"/>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eastAsia="zh-CN"/>
        </w:rPr>
        <w:t>浮动管理费</w:t>
      </w:r>
      <w:r>
        <w:rPr>
          <w:rFonts w:hint="eastAsia" w:asciiTheme="minorEastAsia" w:hAnsiTheme="minorEastAsia" w:eastAsiaTheme="minorEastAsia" w:cstheme="minorEastAsia"/>
          <w:kern w:val="0"/>
          <w:szCs w:val="21"/>
          <w:highlight w:val="none"/>
        </w:rPr>
        <w:t>计提前的封闭周期年化收益率：</w:t>
      </w:r>
    </w:p>
    <w:p>
      <w:pPr>
        <w:spacing w:line="240" w:lineRule="auto"/>
        <w:jc w:val="center"/>
        <w:rPr>
          <w:rFonts w:hint="eastAsia" w:asciiTheme="minorEastAsia" w:hAnsiTheme="minorEastAsia" w:eastAsiaTheme="minorEastAsia" w:cstheme="minorEastAsia"/>
          <w:szCs w:val="21"/>
          <w:highlight w:val="none"/>
        </w:rPr>
      </w:pPr>
      <m:oMath>
        <m:r>
          <m:rPr>
            <m:sty m:val="p"/>
          </m:rPr>
          <w:rPr>
            <w:rFonts w:hint="eastAsia" w:ascii="Cambria Math" w:hAnsi="Cambria Math" w:eastAsiaTheme="minorEastAsia" w:cstheme="minorEastAsia"/>
            <w:szCs w:val="21"/>
            <w:highlight w:val="none"/>
          </w:rPr>
          <m:t>R=</m:t>
        </m:r>
        <m:f>
          <m:fPr>
            <m:ctrlPr>
              <w:rPr>
                <w:rFonts w:hint="eastAsia" w:ascii="Cambria Math" w:hAnsi="Cambria Math" w:eastAsiaTheme="minorEastAsia" w:cstheme="minorEastAsia"/>
                <w:szCs w:val="21"/>
                <w:highlight w:val="none"/>
              </w:rPr>
            </m:ctrlPr>
          </m:fPr>
          <m:num>
            <m:d>
              <m:dPr>
                <m:ctrlPr>
                  <w:rPr>
                    <w:rFonts w:hint="eastAsia" w:ascii="Cambria Math" w:hAnsi="Cambria Math" w:eastAsiaTheme="minorEastAsia" w:cstheme="minorEastAsia"/>
                    <w:i/>
                    <w:szCs w:val="21"/>
                    <w:highlight w:val="none"/>
                  </w:rPr>
                </m:ctrlPr>
              </m:dPr>
              <m:e>
                <m:f>
                  <m:fPr>
                    <m:ctrlPr>
                      <w:rPr>
                        <w:rFonts w:hint="eastAsia" w:ascii="Cambria Math" w:hAnsi="Cambria Math" w:eastAsiaTheme="minorEastAsia" w:cstheme="minorEastAsia"/>
                        <w:i/>
                        <w:szCs w:val="21"/>
                        <w:highlight w:val="none"/>
                      </w:rPr>
                    </m:ctrlPr>
                  </m:fPr>
                  <m:num>
                    <m:sSub>
                      <m:sSubPr>
                        <m:ctrlPr>
                          <w:rPr>
                            <w:rFonts w:hint="eastAsia" w:ascii="Cambria Math" w:hAnsi="Cambria Math" w:eastAsiaTheme="minorEastAsia" w:cstheme="minorEastAsia"/>
                            <w:i/>
                            <w:szCs w:val="21"/>
                            <w:highlight w:val="none"/>
                          </w:rPr>
                        </m:ctrlPr>
                      </m:sSubPr>
                      <m:e>
                        <m:r>
                          <w:rPr>
                            <w:rFonts w:hint="eastAsia" w:ascii="Cambria Math" w:hAnsi="Cambria Math" w:eastAsiaTheme="minorEastAsia" w:cstheme="minorEastAsia"/>
                            <w:szCs w:val="21"/>
                            <w:highlight w:val="none"/>
                          </w:rPr>
                          <m:t>P</m:t>
                        </m:r>
                        <m:ctrlPr>
                          <w:rPr>
                            <w:rFonts w:hint="eastAsia" w:ascii="Cambria Math" w:hAnsi="Cambria Math" w:eastAsiaTheme="minorEastAsia" w:cstheme="minorEastAsia"/>
                            <w:i/>
                            <w:szCs w:val="21"/>
                            <w:highlight w:val="none"/>
                          </w:rPr>
                        </m:ctrlPr>
                      </m:e>
                      <m:sub>
                        <m:r>
                          <m:rPr>
                            <m:sty m:val="p"/>
                          </m:rPr>
                          <w:rPr>
                            <w:rFonts w:hint="eastAsia" w:ascii="Cambria Math" w:hAnsi="Cambria Math" w:eastAsiaTheme="minorEastAsia" w:cstheme="minorEastAsia"/>
                            <w:szCs w:val="21"/>
                            <w:highlight w:val="none"/>
                          </w:rPr>
                          <m:t>期末净值</m:t>
                        </m:r>
                        <m:ctrlPr>
                          <w:rPr>
                            <w:rFonts w:hint="eastAsia" w:ascii="Cambria Math" w:hAnsi="Cambria Math" w:eastAsiaTheme="minorEastAsia" w:cstheme="minorEastAsia"/>
                            <w:i/>
                            <w:szCs w:val="21"/>
                            <w:highlight w:val="none"/>
                          </w:rPr>
                        </m:ctrlPr>
                      </m:sub>
                    </m:sSub>
                    <m:r>
                      <w:rPr>
                        <w:rFonts w:hint="eastAsia" w:ascii="Cambria Math" w:hAnsi="Cambria Math" w:eastAsiaTheme="minorEastAsia" w:cstheme="minorEastAsia"/>
                        <w:szCs w:val="21"/>
                        <w:highlight w:val="none"/>
                      </w:rPr>
                      <m:t>−</m:t>
                    </m:r>
                    <m:sSub>
                      <m:sSubPr>
                        <m:ctrlPr>
                          <w:rPr>
                            <w:rFonts w:hint="eastAsia" w:ascii="Cambria Math" w:hAnsi="Cambria Math" w:eastAsiaTheme="minorEastAsia" w:cstheme="minorEastAsia"/>
                            <w:i/>
                            <w:szCs w:val="21"/>
                            <w:highlight w:val="none"/>
                          </w:rPr>
                        </m:ctrlPr>
                      </m:sSubPr>
                      <m:e>
                        <m:r>
                          <w:rPr>
                            <w:rFonts w:hint="eastAsia" w:ascii="Cambria Math" w:hAnsi="Cambria Math" w:eastAsiaTheme="minorEastAsia" w:cstheme="minorEastAsia"/>
                            <w:szCs w:val="21"/>
                            <w:highlight w:val="none"/>
                          </w:rPr>
                          <m:t>P</m:t>
                        </m:r>
                        <m:ctrlPr>
                          <w:rPr>
                            <w:rFonts w:hint="eastAsia" w:ascii="Cambria Math" w:hAnsi="Cambria Math" w:eastAsiaTheme="minorEastAsia" w:cstheme="minorEastAsia"/>
                            <w:i/>
                            <w:szCs w:val="21"/>
                            <w:highlight w:val="none"/>
                          </w:rPr>
                        </m:ctrlPr>
                      </m:e>
                      <m:sub>
                        <m:r>
                          <m:rPr>
                            <m:sty m:val="p"/>
                          </m:rPr>
                          <w:rPr>
                            <w:rFonts w:hint="eastAsia" w:ascii="Cambria Math" w:hAnsi="Cambria Math" w:eastAsiaTheme="minorEastAsia" w:cstheme="minorEastAsia"/>
                            <w:szCs w:val="21"/>
                            <w:highlight w:val="none"/>
                          </w:rPr>
                          <m:t>期初净值</m:t>
                        </m:r>
                        <m:ctrlPr>
                          <w:rPr>
                            <w:rFonts w:hint="eastAsia" w:ascii="Cambria Math" w:hAnsi="Cambria Math" w:eastAsiaTheme="minorEastAsia" w:cstheme="minorEastAsia"/>
                            <w:i/>
                            <w:szCs w:val="21"/>
                            <w:highlight w:val="none"/>
                          </w:rPr>
                        </m:ctrlPr>
                      </m:sub>
                    </m:sSub>
                    <m:ctrlPr>
                      <w:rPr>
                        <w:rFonts w:hint="eastAsia" w:ascii="Cambria Math" w:hAnsi="Cambria Math" w:eastAsiaTheme="minorEastAsia" w:cstheme="minorEastAsia"/>
                        <w:i/>
                        <w:szCs w:val="21"/>
                        <w:highlight w:val="none"/>
                      </w:rPr>
                    </m:ctrlPr>
                  </m:num>
                  <m:den>
                    <m:sSub>
                      <m:sSubPr>
                        <m:ctrlPr>
                          <w:rPr>
                            <w:rFonts w:hint="eastAsia" w:ascii="Cambria Math" w:hAnsi="Cambria Math" w:eastAsiaTheme="minorEastAsia" w:cstheme="minorEastAsia"/>
                            <w:i/>
                            <w:szCs w:val="21"/>
                            <w:highlight w:val="none"/>
                          </w:rPr>
                        </m:ctrlPr>
                      </m:sSubPr>
                      <m:e>
                        <m:r>
                          <w:rPr>
                            <w:rFonts w:hint="eastAsia" w:ascii="Cambria Math" w:hAnsi="Cambria Math" w:eastAsiaTheme="minorEastAsia" w:cstheme="minorEastAsia"/>
                            <w:szCs w:val="21"/>
                            <w:highlight w:val="none"/>
                          </w:rPr>
                          <m:t>P</m:t>
                        </m:r>
                        <m:ctrlPr>
                          <w:rPr>
                            <w:rFonts w:hint="eastAsia" w:ascii="Cambria Math" w:hAnsi="Cambria Math" w:eastAsiaTheme="minorEastAsia" w:cstheme="minorEastAsia"/>
                            <w:i/>
                            <w:szCs w:val="21"/>
                            <w:highlight w:val="none"/>
                          </w:rPr>
                        </m:ctrlPr>
                      </m:e>
                      <m:sub>
                        <m:r>
                          <m:rPr>
                            <m:sty m:val="p"/>
                          </m:rPr>
                          <w:rPr>
                            <w:rFonts w:hint="eastAsia" w:ascii="Cambria Math" w:hAnsi="Cambria Math" w:eastAsiaTheme="minorEastAsia" w:cstheme="minorEastAsia"/>
                            <w:szCs w:val="21"/>
                            <w:highlight w:val="none"/>
                          </w:rPr>
                          <m:t>期初净值</m:t>
                        </m:r>
                        <m:ctrlPr>
                          <w:rPr>
                            <w:rFonts w:hint="eastAsia" w:ascii="Cambria Math" w:hAnsi="Cambria Math" w:eastAsiaTheme="minorEastAsia" w:cstheme="minorEastAsia"/>
                            <w:i/>
                            <w:szCs w:val="21"/>
                            <w:highlight w:val="none"/>
                          </w:rPr>
                        </m:ctrlPr>
                      </m:sub>
                    </m:sSub>
                    <m:ctrlPr>
                      <w:rPr>
                        <w:rFonts w:hint="eastAsia" w:ascii="Cambria Math" w:hAnsi="Cambria Math" w:eastAsiaTheme="minorEastAsia" w:cstheme="minorEastAsia"/>
                        <w:i/>
                        <w:szCs w:val="21"/>
                        <w:highlight w:val="none"/>
                      </w:rPr>
                    </m:ctrlPr>
                  </m:den>
                </m:f>
                <m:ctrlPr>
                  <w:rPr>
                    <w:rFonts w:hint="eastAsia" w:ascii="Cambria Math" w:hAnsi="Cambria Math" w:eastAsiaTheme="minorEastAsia" w:cstheme="minorEastAsia"/>
                    <w:i/>
                    <w:szCs w:val="21"/>
                    <w:highlight w:val="none"/>
                  </w:rPr>
                </m:ctrlPr>
              </m:e>
            </m:d>
            <m:ctrlPr>
              <w:rPr>
                <w:rFonts w:hint="eastAsia" w:ascii="Cambria Math" w:hAnsi="Cambria Math" w:eastAsiaTheme="minorEastAsia" w:cstheme="minorEastAsia"/>
                <w:szCs w:val="21"/>
                <w:highlight w:val="none"/>
              </w:rPr>
            </m:ctrlPr>
          </m:num>
          <m:den>
            <m:r>
              <w:rPr>
                <w:rFonts w:hint="eastAsia" w:ascii="Cambria Math" w:hAnsi="Cambria Math" w:eastAsiaTheme="minorEastAsia" w:cstheme="minorEastAsia"/>
                <w:szCs w:val="21"/>
                <w:highlight w:val="none"/>
              </w:rPr>
              <m:t>D</m:t>
            </m:r>
            <m:ctrlPr>
              <w:rPr>
                <w:rFonts w:hint="eastAsia" w:ascii="Cambria Math" w:hAnsi="Cambria Math" w:eastAsiaTheme="minorEastAsia" w:cstheme="minorEastAsia"/>
                <w:szCs w:val="21"/>
                <w:highlight w:val="none"/>
              </w:rPr>
            </m:ctrlPr>
          </m:den>
        </m:f>
      </m:oMath>
      <w:r>
        <w:rPr>
          <w:rFonts w:hint="eastAsia" w:asciiTheme="minorEastAsia" w:hAnsiTheme="minorEastAsia" w:eastAsiaTheme="minorEastAsia" w:cstheme="minorEastAsia"/>
          <w:szCs w:val="21"/>
          <w:highlight w:val="none"/>
        </w:rPr>
        <w:t>×365</w:t>
      </w:r>
    </w:p>
    <w:p>
      <w:pPr>
        <w:spacing w:line="240" w:lineRule="auto"/>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其中，</w:t>
      </w:r>
      <m:oMath>
        <m:sSub>
          <m:sSubPr>
            <m:ctrlPr>
              <w:rPr>
                <w:rFonts w:hint="eastAsia" w:ascii="Cambria Math" w:hAnsi="Cambria Math" w:eastAsiaTheme="minorEastAsia" w:cstheme="minorEastAsia"/>
                <w:i/>
                <w:szCs w:val="21"/>
                <w:highlight w:val="none"/>
              </w:rPr>
            </m:ctrlPr>
          </m:sSubPr>
          <m:e>
            <m:r>
              <w:rPr>
                <w:rFonts w:hint="eastAsia" w:ascii="Cambria Math" w:hAnsi="Cambria Math" w:eastAsiaTheme="minorEastAsia" w:cstheme="minorEastAsia"/>
                <w:szCs w:val="21"/>
                <w:highlight w:val="none"/>
              </w:rPr>
              <m:t>P</m:t>
            </m:r>
            <m:ctrlPr>
              <w:rPr>
                <w:rFonts w:hint="eastAsia" w:ascii="Cambria Math" w:hAnsi="Cambria Math" w:eastAsiaTheme="minorEastAsia" w:cstheme="minorEastAsia"/>
                <w:i/>
                <w:szCs w:val="21"/>
                <w:highlight w:val="none"/>
              </w:rPr>
            </m:ctrlPr>
          </m:e>
          <m:sub>
            <m:r>
              <m:rPr>
                <m:sty m:val="p"/>
              </m:rPr>
              <w:rPr>
                <w:rFonts w:hint="eastAsia" w:ascii="Cambria Math" w:hAnsi="Cambria Math" w:eastAsiaTheme="minorEastAsia" w:cstheme="minorEastAsia"/>
                <w:szCs w:val="21"/>
                <w:highlight w:val="none"/>
              </w:rPr>
              <m:t>期末净值</m:t>
            </m:r>
            <m:ctrlPr>
              <w:rPr>
                <w:rFonts w:hint="eastAsia" w:ascii="Cambria Math" w:hAnsi="Cambria Math" w:eastAsiaTheme="minorEastAsia" w:cstheme="minorEastAsia"/>
                <w:i/>
                <w:szCs w:val="21"/>
                <w:highlight w:val="none"/>
              </w:rPr>
            </m:ctrlPr>
          </m:sub>
        </m:sSub>
      </m:oMath>
      <w:r>
        <w:rPr>
          <w:rFonts w:hint="eastAsia" w:asciiTheme="minorEastAsia" w:hAnsiTheme="minorEastAsia" w:eastAsiaTheme="minorEastAsia" w:cstheme="minorEastAsia"/>
          <w:kern w:val="0"/>
          <w:szCs w:val="21"/>
          <w:highlight w:val="none"/>
        </w:rPr>
        <w:t>表示当期投资周期期末</w:t>
      </w:r>
      <w:r>
        <w:rPr>
          <w:rFonts w:hint="eastAsia" w:asciiTheme="minorEastAsia" w:hAnsiTheme="minorEastAsia" w:eastAsiaTheme="minorEastAsia" w:cstheme="minorEastAsia"/>
          <w:kern w:val="0"/>
          <w:szCs w:val="21"/>
          <w:highlight w:val="none"/>
          <w:lang w:eastAsia="zh-CN"/>
        </w:rPr>
        <w:t>浮动管理费</w:t>
      </w:r>
      <w:r>
        <w:rPr>
          <w:rFonts w:hint="eastAsia" w:asciiTheme="minorEastAsia" w:hAnsiTheme="minorEastAsia" w:eastAsiaTheme="minorEastAsia" w:cstheme="minorEastAsia"/>
          <w:kern w:val="0"/>
          <w:szCs w:val="21"/>
          <w:highlight w:val="none"/>
        </w:rPr>
        <w:t>计提前的单位净值，即投资周期终止日前一个工作日的</w:t>
      </w:r>
      <w:r>
        <w:rPr>
          <w:rFonts w:hint="eastAsia" w:asciiTheme="minorEastAsia" w:hAnsiTheme="minorEastAsia" w:eastAsiaTheme="minorEastAsia" w:cstheme="minorEastAsia"/>
          <w:kern w:val="0"/>
          <w:szCs w:val="21"/>
          <w:highlight w:val="none"/>
          <w:lang w:eastAsia="zh-CN"/>
        </w:rPr>
        <w:t>浮动管理费</w:t>
      </w:r>
      <w:r>
        <w:rPr>
          <w:rFonts w:hint="eastAsia" w:asciiTheme="minorEastAsia" w:hAnsiTheme="minorEastAsia" w:eastAsiaTheme="minorEastAsia" w:cstheme="minorEastAsia"/>
          <w:kern w:val="0"/>
          <w:szCs w:val="21"/>
          <w:highlight w:val="none"/>
        </w:rPr>
        <w:t xml:space="preserve">计提前的理财产品净值， </w:t>
      </w:r>
      <m:oMath>
        <m:sSub>
          <m:sSubPr>
            <m:ctrlPr>
              <w:rPr>
                <w:rFonts w:hint="eastAsia" w:ascii="Cambria Math" w:hAnsi="Cambria Math" w:eastAsiaTheme="minorEastAsia" w:cstheme="minorEastAsia"/>
                <w:i/>
                <w:szCs w:val="21"/>
                <w:highlight w:val="none"/>
              </w:rPr>
            </m:ctrlPr>
          </m:sSubPr>
          <m:e>
            <m:r>
              <w:rPr>
                <w:rFonts w:hint="eastAsia" w:ascii="Cambria Math" w:hAnsi="Cambria Math" w:eastAsiaTheme="minorEastAsia" w:cstheme="minorEastAsia"/>
                <w:szCs w:val="21"/>
                <w:highlight w:val="none"/>
              </w:rPr>
              <m:t>P</m:t>
            </m:r>
            <m:ctrlPr>
              <w:rPr>
                <w:rFonts w:hint="eastAsia" w:ascii="Cambria Math" w:hAnsi="Cambria Math" w:eastAsiaTheme="minorEastAsia" w:cstheme="minorEastAsia"/>
                <w:i/>
                <w:szCs w:val="21"/>
                <w:highlight w:val="none"/>
              </w:rPr>
            </m:ctrlPr>
          </m:e>
          <m:sub>
            <m:r>
              <m:rPr>
                <m:sty m:val="p"/>
              </m:rPr>
              <w:rPr>
                <w:rFonts w:hint="eastAsia" w:ascii="Cambria Math" w:hAnsi="Cambria Math" w:eastAsiaTheme="minorEastAsia" w:cstheme="minorEastAsia"/>
                <w:szCs w:val="21"/>
                <w:highlight w:val="none"/>
              </w:rPr>
              <m:t>期初净值</m:t>
            </m:r>
            <m:ctrlPr>
              <w:rPr>
                <w:rFonts w:hint="eastAsia" w:ascii="Cambria Math" w:hAnsi="Cambria Math" w:eastAsiaTheme="minorEastAsia" w:cstheme="minorEastAsia"/>
                <w:i/>
                <w:szCs w:val="21"/>
                <w:highlight w:val="none"/>
              </w:rPr>
            </m:ctrlPr>
          </m:sub>
        </m:sSub>
      </m:oMath>
      <w:r>
        <w:rPr>
          <w:rFonts w:hint="eastAsia" w:asciiTheme="minorEastAsia" w:hAnsiTheme="minorEastAsia" w:eastAsiaTheme="minorEastAsia" w:cstheme="minorEastAsia"/>
          <w:kern w:val="0"/>
          <w:szCs w:val="21"/>
          <w:highlight w:val="none"/>
        </w:rPr>
        <w:t>表示当期投资周期的申购单位净值，即申购确认日前一个工作日的理财产品净值；D表示当期投资周期，即产品固定持有天数；</w:t>
      </w:r>
      <w:r>
        <w:rPr>
          <w:rFonts w:hint="eastAsia" w:asciiTheme="minorEastAsia" w:hAnsiTheme="minorEastAsia" w:eastAsiaTheme="minorEastAsia" w:cstheme="minorEastAsia"/>
          <w:kern w:val="0"/>
          <w:szCs w:val="21"/>
          <w:highlight w:val="none"/>
          <w:lang w:val="en-US" w:eastAsia="zh-CN"/>
        </w:rPr>
        <w:t>R</w:t>
      </w:r>
      <w:r>
        <w:rPr>
          <w:rFonts w:hint="eastAsia" w:asciiTheme="minorEastAsia" w:hAnsiTheme="minorEastAsia" w:eastAsiaTheme="minorEastAsia" w:cstheme="minorEastAsia"/>
          <w:kern w:val="0"/>
          <w:szCs w:val="21"/>
          <w:highlight w:val="none"/>
        </w:rPr>
        <w:t>表示当期份额确认日的年化业绩比较基准。</w:t>
      </w:r>
    </w:p>
    <w:p>
      <w:pPr>
        <w:spacing w:line="240" w:lineRule="auto"/>
        <w:jc w:val="left"/>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lang w:eastAsia="zh-CN"/>
        </w:rPr>
        <w:t>浮动管理费</w:t>
      </w:r>
      <w:r>
        <w:rPr>
          <w:rFonts w:hint="eastAsia" w:asciiTheme="minorEastAsia" w:hAnsiTheme="minorEastAsia" w:eastAsiaTheme="minorEastAsia" w:cstheme="minorEastAsia"/>
          <w:b/>
          <w:kern w:val="0"/>
          <w:szCs w:val="21"/>
          <w:highlight w:val="none"/>
        </w:rPr>
        <w:t>计提比例公式如下：</w:t>
      </w:r>
    </w:p>
    <w:tbl>
      <w:tblPr>
        <w:tblStyle w:val="5"/>
        <w:tblW w:w="59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4"/>
        <w:gridCol w:w="20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jc w:val="left"/>
              <w:rPr>
                <w:rFonts w:hint="eastAsia" w:asciiTheme="minorEastAsia" w:hAnsiTheme="minorEastAsia" w:eastAsiaTheme="minorEastAsia" w:cstheme="minorEastAsia"/>
                <w:kern w:val="0"/>
                <w:sz w:val="15"/>
                <w:szCs w:val="15"/>
                <w:highlight w:val="none"/>
              </w:rPr>
            </w:pPr>
            <w:r>
              <w:rPr>
                <w:rFonts w:hint="eastAsia" w:asciiTheme="minorEastAsia" w:hAnsiTheme="minorEastAsia" w:eastAsiaTheme="minorEastAsia" w:cstheme="minorEastAsia"/>
                <w:kern w:val="0"/>
                <w:sz w:val="15"/>
                <w:szCs w:val="15"/>
                <w:highlight w:val="none"/>
                <w:lang w:eastAsia="zh-CN"/>
              </w:rPr>
              <w:t>浮动管理费</w:t>
            </w:r>
            <w:r>
              <w:rPr>
                <w:rFonts w:hint="eastAsia" w:asciiTheme="minorEastAsia" w:hAnsiTheme="minorEastAsia" w:eastAsiaTheme="minorEastAsia" w:cstheme="minorEastAsia"/>
                <w:kern w:val="0"/>
                <w:sz w:val="15"/>
                <w:szCs w:val="15"/>
                <w:highlight w:val="none"/>
              </w:rPr>
              <w:t>计提前的当日年化收益率</w:t>
            </w:r>
          </w:p>
        </w:tc>
        <w:tc>
          <w:tcPr>
            <w:tcW w:w="2044" w:type="dxa"/>
          </w:tcPr>
          <w:p>
            <w:pPr>
              <w:jc w:val="left"/>
              <w:rPr>
                <w:rFonts w:hint="eastAsia" w:asciiTheme="minorEastAsia" w:hAnsiTheme="minorEastAsia" w:eastAsiaTheme="minorEastAsia" w:cstheme="minorEastAsia"/>
                <w:kern w:val="0"/>
                <w:sz w:val="15"/>
                <w:szCs w:val="15"/>
                <w:highlight w:val="none"/>
              </w:rPr>
            </w:pPr>
            <w:r>
              <w:rPr>
                <w:rFonts w:hint="eastAsia" w:asciiTheme="minorEastAsia" w:hAnsiTheme="minorEastAsia" w:eastAsiaTheme="minorEastAsia" w:cstheme="minorEastAsia"/>
                <w:kern w:val="0"/>
                <w:sz w:val="15"/>
                <w:szCs w:val="15"/>
                <w:highlight w:val="none"/>
                <w:lang w:eastAsia="zh-CN"/>
              </w:rPr>
              <w:t>浮动管理费</w:t>
            </w:r>
            <w:r>
              <w:rPr>
                <w:rFonts w:hint="eastAsia" w:asciiTheme="minorEastAsia" w:hAnsiTheme="minorEastAsia" w:eastAsiaTheme="minorEastAsia" w:cstheme="minorEastAsia"/>
                <w:kern w:val="0"/>
                <w:sz w:val="15"/>
                <w:szCs w:val="15"/>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vAlign w:val="top"/>
          </w:tcPr>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kern w:val="0"/>
                <w:szCs w:val="21"/>
                <w:highlight w:val="none"/>
                <w:lang w:val="en-US" w:eastAsia="zh-CN"/>
              </w:rPr>
              <w:t>c</w:t>
            </w:r>
          </w:p>
        </w:tc>
        <w:tc>
          <w:tcPr>
            <w:tcW w:w="2044" w:type="dxa"/>
            <w:vAlign w:val="top"/>
          </w:tcPr>
          <w:p>
            <w:pPr>
              <w:jc w:val="left"/>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I=</w:t>
            </w:r>
            <w:r>
              <w:rPr>
                <w:rFonts w:hint="eastAsia" w:asciiTheme="minorEastAsia" w:hAnsiTheme="minorEastAsia" w:eastAsiaTheme="minorEastAsia" w:cstheme="minorEastAsia"/>
                <w:kern w:val="0"/>
                <w:szCs w:val="21"/>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vAlign w:val="top"/>
          </w:tcPr>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c</w:t>
            </w: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kern w:val="0"/>
                <w:szCs w:val="21"/>
                <w:highlight w:val="none"/>
                <w:vertAlign w:val="subscript"/>
              </w:rPr>
              <w:t>1</w:t>
            </w:r>
            <w:r>
              <w:rPr>
                <w:rFonts w:hint="eastAsia" w:asciiTheme="minorEastAsia" w:hAnsiTheme="minorEastAsia" w:eastAsiaTheme="minorEastAsia" w:cstheme="minorEastAsia"/>
                <w:kern w:val="0"/>
                <w:szCs w:val="21"/>
                <w:highlight w:val="none"/>
              </w:rPr>
              <w:t>≤</w:t>
            </w:r>
            <w:r>
              <w:rPr>
                <w:rFonts w:hint="eastAsia" w:asciiTheme="minorEastAsia" w:hAnsiTheme="minorEastAsia" w:eastAsiaTheme="minorEastAsia" w:cstheme="minorEastAsia"/>
                <w:kern w:val="0"/>
                <w:szCs w:val="21"/>
                <w:highlight w:val="none"/>
                <w:lang w:val="en-US" w:eastAsia="zh-CN"/>
              </w:rPr>
              <w:t>d</w:t>
            </w:r>
          </w:p>
        </w:tc>
        <w:tc>
          <w:tcPr>
            <w:tcW w:w="2044" w:type="dxa"/>
            <w:vAlign w:val="top"/>
          </w:tcPr>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color w:val="000000"/>
                <w:kern w:val="0"/>
                <w:szCs w:val="21"/>
                <w:highlight w:val="none"/>
              </w:rPr>
              <w:t>I</w:t>
            </w:r>
            <w:r>
              <w:rPr>
                <w:rFonts w:hint="eastAsia" w:asciiTheme="minorEastAsia" w:hAnsiTheme="minorEastAsia" w:eastAsiaTheme="minorEastAsia" w:cstheme="minorEastAsia"/>
                <w:color w:val="000000"/>
                <w:kern w:val="0"/>
                <w:szCs w:val="21"/>
                <w:highlight w:val="none"/>
                <w:vertAlign w:val="subscript"/>
              </w:rPr>
              <w:t>1</w:t>
            </w: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kern w:val="0"/>
                <w:szCs w:val="21"/>
                <w:highlight w:val="none"/>
                <w:vertAlign w:val="subscript"/>
              </w:rPr>
              <w:t>1</w:t>
            </w:r>
            <w:r>
              <w:rPr>
                <w:rFonts w:hint="eastAsia" w:asciiTheme="minorEastAsia" w:hAnsiTheme="minorEastAsia" w:eastAsiaTheme="minorEastAsia" w:cstheme="minorEastAsia"/>
                <w:kern w:val="0"/>
                <w:szCs w:val="21"/>
                <w:highlight w:val="none"/>
              </w:rPr>
              <w:t>-</w:t>
            </w:r>
            <w:r>
              <w:rPr>
                <w:rFonts w:hint="eastAsia" w:asciiTheme="minorEastAsia" w:hAnsiTheme="minorEastAsia" w:eastAsiaTheme="minorEastAsia" w:cstheme="minorEastAsia"/>
                <w:kern w:val="0"/>
                <w:szCs w:val="21"/>
                <w:highlight w:val="none"/>
                <w:lang w:val="en-US" w:eastAsia="zh-CN"/>
              </w:rPr>
              <w:t>c</w:t>
            </w:r>
            <w:r>
              <w:rPr>
                <w:rFonts w:hint="eastAsia" w:asciiTheme="minorEastAsia" w:hAnsiTheme="minorEastAsia" w:eastAsiaTheme="minorEastAsia" w:cstheme="minorEastAsia"/>
                <w:kern w:val="0"/>
                <w:szCs w:val="21"/>
                <w:highlight w:val="none"/>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vAlign w:val="top"/>
          </w:tcPr>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d</w:t>
            </w: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kern w:val="0"/>
                <w:szCs w:val="21"/>
                <w:highlight w:val="none"/>
                <w:vertAlign w:val="subscript"/>
              </w:rPr>
              <w:t>2</w:t>
            </w:r>
          </w:p>
        </w:tc>
        <w:tc>
          <w:tcPr>
            <w:tcW w:w="2044" w:type="dxa"/>
            <w:vAlign w:val="top"/>
          </w:tcPr>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color w:val="000000"/>
                <w:kern w:val="0"/>
                <w:szCs w:val="21"/>
                <w:highlight w:val="none"/>
              </w:rPr>
              <w:t>I</w:t>
            </w:r>
            <w:r>
              <w:rPr>
                <w:rFonts w:hint="eastAsia" w:asciiTheme="minorEastAsia" w:hAnsiTheme="minorEastAsia" w:eastAsiaTheme="minorEastAsia" w:cstheme="minorEastAsia"/>
                <w:color w:val="000000"/>
                <w:kern w:val="0"/>
                <w:szCs w:val="21"/>
                <w:highlight w:val="none"/>
                <w:vertAlign w:val="subscript"/>
              </w:rPr>
              <w:t>2</w:t>
            </w: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kern w:val="0"/>
                <w:szCs w:val="21"/>
                <w:highlight w:val="none"/>
                <w:vertAlign w:val="subscript"/>
              </w:rPr>
              <w:t>2</w:t>
            </w:r>
            <w:r>
              <w:rPr>
                <w:rFonts w:hint="eastAsia" w:asciiTheme="minorEastAsia" w:hAnsiTheme="minorEastAsia" w:eastAsiaTheme="minorEastAsia" w:cstheme="minorEastAsia"/>
                <w:kern w:val="0"/>
                <w:szCs w:val="21"/>
                <w:highlight w:val="none"/>
              </w:rPr>
              <w:t>-</w:t>
            </w:r>
            <w:r>
              <w:rPr>
                <w:rFonts w:hint="eastAsia" w:asciiTheme="minorEastAsia" w:hAnsiTheme="minorEastAsia" w:eastAsiaTheme="minorEastAsia" w:cstheme="minorEastAsia"/>
                <w:kern w:val="0"/>
                <w:szCs w:val="21"/>
                <w:highlight w:val="none"/>
                <w:lang w:val="en-US" w:eastAsia="zh-CN"/>
              </w:rPr>
              <w:t>d</w:t>
            </w:r>
            <w:r>
              <w:rPr>
                <w:rFonts w:hint="eastAsia" w:asciiTheme="minorEastAsia" w:hAnsiTheme="minorEastAsia" w:eastAsiaTheme="minorEastAsia" w:cstheme="minorEastAsia"/>
                <w:kern w:val="0"/>
                <w:szCs w:val="21"/>
                <w:highlight w:val="none"/>
              </w:rPr>
              <w:t>)×80%</w:t>
            </w:r>
          </w:p>
        </w:tc>
      </w:tr>
    </w:tbl>
    <w:p>
      <w:pPr>
        <w:spacing w:line="240" w:lineRule="auto"/>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其中，I表示计提的</w:t>
      </w:r>
      <w:r>
        <w:rPr>
          <w:rFonts w:hint="eastAsia" w:asciiTheme="minorEastAsia" w:hAnsiTheme="minorEastAsia" w:eastAsiaTheme="minorEastAsia" w:cstheme="minorEastAsia"/>
          <w:kern w:val="0"/>
          <w:szCs w:val="21"/>
          <w:highlight w:val="none"/>
          <w:lang w:eastAsia="zh-CN"/>
        </w:rPr>
        <w:t>浮动管理费</w:t>
      </w:r>
      <w:r>
        <w:rPr>
          <w:rFonts w:hint="eastAsia" w:asciiTheme="minorEastAsia" w:hAnsiTheme="minorEastAsia" w:eastAsiaTheme="minorEastAsia" w:cstheme="minorEastAsia"/>
          <w:kern w:val="0"/>
          <w:szCs w:val="21"/>
          <w:highlight w:val="none"/>
        </w:rPr>
        <w:t>比例，计提方式采用超额累进方式，例如当R=4.0%，</w:t>
      </w:r>
      <w:r>
        <w:rPr>
          <w:rFonts w:hint="eastAsia" w:asciiTheme="minorEastAsia" w:hAnsiTheme="minorEastAsia" w:eastAsiaTheme="minorEastAsia" w:cstheme="minorEastAsia"/>
          <w:kern w:val="0"/>
          <w:szCs w:val="21"/>
          <w:highlight w:val="none"/>
          <w:lang w:val="en-US" w:eastAsia="zh-CN"/>
        </w:rPr>
        <w:t>c</w:t>
      </w:r>
      <w:r>
        <w:rPr>
          <w:rFonts w:hint="eastAsia" w:asciiTheme="minorEastAsia" w:hAnsiTheme="minorEastAsia" w:eastAsiaTheme="minorEastAsia" w:cstheme="minorEastAsia"/>
          <w:kern w:val="0"/>
          <w:szCs w:val="21"/>
          <w:highlight w:val="none"/>
        </w:rPr>
        <w:t>=2.70%，</w:t>
      </w:r>
      <w:r>
        <w:rPr>
          <w:rFonts w:hint="eastAsia" w:asciiTheme="minorEastAsia" w:hAnsiTheme="minorEastAsia" w:eastAsiaTheme="minorEastAsia" w:cstheme="minorEastAsia"/>
          <w:kern w:val="0"/>
          <w:szCs w:val="21"/>
          <w:highlight w:val="none"/>
          <w:lang w:val="en-US" w:eastAsia="zh-CN"/>
        </w:rPr>
        <w:t>d</w:t>
      </w:r>
      <w:r>
        <w:rPr>
          <w:rFonts w:hint="eastAsia" w:asciiTheme="minorEastAsia" w:hAnsiTheme="minorEastAsia" w:eastAsiaTheme="minorEastAsia" w:cstheme="minorEastAsia"/>
          <w:kern w:val="0"/>
          <w:szCs w:val="21"/>
          <w:highlight w:val="none"/>
        </w:rPr>
        <w:t>=3.0%,则江阴农商银行收取的</w:t>
      </w:r>
      <w:r>
        <w:rPr>
          <w:rFonts w:hint="eastAsia" w:asciiTheme="minorEastAsia" w:hAnsiTheme="minorEastAsia" w:eastAsiaTheme="minorEastAsia" w:cstheme="minorEastAsia"/>
          <w:kern w:val="0"/>
          <w:szCs w:val="21"/>
          <w:highlight w:val="none"/>
          <w:lang w:eastAsia="zh-CN"/>
        </w:rPr>
        <w:t>浮动管理费</w:t>
      </w:r>
      <w:r>
        <w:rPr>
          <w:rFonts w:hint="eastAsia" w:asciiTheme="minorEastAsia" w:hAnsiTheme="minorEastAsia" w:eastAsiaTheme="minorEastAsia" w:cstheme="minorEastAsia"/>
          <w:kern w:val="0"/>
          <w:szCs w:val="21"/>
          <w:highlight w:val="none"/>
        </w:rPr>
        <w:t>比例为I=</w:t>
      </w:r>
      <w:r>
        <w:rPr>
          <w:rFonts w:hint="eastAsia" w:asciiTheme="minorEastAsia" w:hAnsiTheme="minorEastAsia" w:eastAsiaTheme="minorEastAsia" w:cstheme="minorEastAsia"/>
          <w:color w:val="000000"/>
          <w:kern w:val="0"/>
          <w:szCs w:val="21"/>
          <w:highlight w:val="none"/>
        </w:rPr>
        <w:t>I</w:t>
      </w:r>
      <w:r>
        <w:rPr>
          <w:rFonts w:hint="eastAsia" w:asciiTheme="minorEastAsia" w:hAnsiTheme="minorEastAsia" w:eastAsiaTheme="minorEastAsia" w:cstheme="minorEastAsia"/>
          <w:color w:val="000000"/>
          <w:kern w:val="0"/>
          <w:szCs w:val="21"/>
          <w:highlight w:val="none"/>
          <w:vertAlign w:val="subscript"/>
        </w:rPr>
        <w:t>1</w:t>
      </w:r>
      <w:r>
        <w:rPr>
          <w:rFonts w:hint="eastAsia" w:asciiTheme="minorEastAsia" w:hAnsiTheme="minorEastAsia" w:eastAsiaTheme="minorEastAsia" w:cstheme="minorEastAsia"/>
          <w:color w:val="000000"/>
          <w:kern w:val="0"/>
          <w:szCs w:val="21"/>
          <w:highlight w:val="none"/>
        </w:rPr>
        <w:t>+</w:t>
      </w:r>
      <w:r>
        <w:rPr>
          <w:rFonts w:hint="eastAsia" w:asciiTheme="minorEastAsia" w:hAnsiTheme="minorEastAsia" w:eastAsiaTheme="minorEastAsia" w:cstheme="minorEastAsia"/>
          <w:kern w:val="0"/>
          <w:szCs w:val="21"/>
          <w:highlight w:val="none"/>
        </w:rPr>
        <w:t>I</w:t>
      </w:r>
      <w:r>
        <w:rPr>
          <w:rFonts w:hint="eastAsia" w:asciiTheme="minorEastAsia" w:hAnsiTheme="minorEastAsia" w:eastAsiaTheme="minorEastAsia" w:cstheme="minorEastAsia"/>
          <w:kern w:val="0"/>
          <w:szCs w:val="21"/>
          <w:highlight w:val="none"/>
          <w:vertAlign w:val="subscript"/>
        </w:rPr>
        <w:t>2</w:t>
      </w:r>
      <w:r>
        <w:rPr>
          <w:rFonts w:hint="eastAsia" w:asciiTheme="minorEastAsia" w:hAnsiTheme="minorEastAsia" w:eastAsiaTheme="minorEastAsia" w:cstheme="minorEastAsia"/>
          <w:kern w:val="0"/>
          <w:szCs w:val="21"/>
          <w:highlight w:val="none"/>
        </w:rPr>
        <w:t>=0.95%。</w:t>
      </w:r>
      <w:r>
        <w:rPr>
          <w:rFonts w:hint="eastAsia" w:asciiTheme="minorEastAsia" w:hAnsiTheme="minorEastAsia" w:cstheme="minorEastAsia"/>
          <w:kern w:val="0"/>
          <w:szCs w:val="21"/>
          <w:highlight w:val="none"/>
          <w:lang w:eastAsia="zh-CN"/>
        </w:rPr>
        <w:t>（</w:t>
      </w:r>
      <w:r>
        <w:rPr>
          <w:rFonts w:hint="eastAsia" w:asciiTheme="minorEastAsia" w:hAnsiTheme="minorEastAsia" w:cstheme="minorEastAsia"/>
          <w:kern w:val="0"/>
          <w:szCs w:val="21"/>
          <w:highlight w:val="none"/>
          <w:lang w:val="en-US" w:eastAsia="zh-CN"/>
        </w:rPr>
        <w:t>案例以具体产品的说明书为准</w:t>
      </w:r>
      <w:r>
        <w:rPr>
          <w:rFonts w:hint="eastAsia" w:asciiTheme="minorEastAsia" w:hAnsiTheme="minorEastAsia" w:cstheme="minorEastAsia"/>
          <w:kern w:val="0"/>
          <w:szCs w:val="21"/>
          <w:highlight w:val="none"/>
          <w:lang w:eastAsia="zh-CN"/>
        </w:rPr>
        <w:t>）</w:t>
      </w:r>
    </w:p>
    <w:p>
      <w:pPr>
        <w:jc w:val="left"/>
        <w:rPr>
          <w:rFonts w:hint="eastAsia" w:asciiTheme="minorEastAsia" w:hAnsiTheme="minorEastAsia" w:eastAsiaTheme="minorEastAsia" w:cstheme="minorEastAsia"/>
          <w:kern w:val="0"/>
          <w:szCs w:val="21"/>
          <w:highlight w:val="none"/>
          <w:lang w:eastAsia="zh-CN"/>
        </w:rPr>
      </w:pP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color w:val="000000"/>
          <w:kern w:val="0"/>
          <w:szCs w:val="21"/>
          <w:highlight w:val="none"/>
        </w:rPr>
        <w:t>情形下，</w:t>
      </w:r>
      <w:r>
        <w:rPr>
          <w:rFonts w:hint="eastAsia" w:asciiTheme="minorEastAsia" w:hAnsiTheme="minorEastAsia" w:eastAsiaTheme="minorEastAsia" w:cstheme="minorEastAsia"/>
          <w:kern w:val="0"/>
          <w:szCs w:val="21"/>
          <w:highlight w:val="none"/>
        </w:rPr>
        <w:t>不再计提</w:t>
      </w:r>
      <w:r>
        <w:rPr>
          <w:rFonts w:hint="eastAsia" w:asciiTheme="minorEastAsia" w:hAnsiTheme="minorEastAsia" w:eastAsiaTheme="minorEastAsia" w:cstheme="minorEastAsia"/>
          <w:kern w:val="0"/>
          <w:szCs w:val="21"/>
          <w:highlight w:val="none"/>
          <w:lang w:eastAsia="zh-CN"/>
        </w:rPr>
        <w:t>浮动管理费</w:t>
      </w:r>
    </w:p>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kern w:val="0"/>
          <w:szCs w:val="21"/>
          <w:highlight w:val="none"/>
          <w:vertAlign w:val="subscript"/>
        </w:rPr>
        <w:t>1</w:t>
      </w:r>
      <w:r>
        <w:rPr>
          <w:rFonts w:hint="eastAsia" w:asciiTheme="minorEastAsia" w:hAnsiTheme="minorEastAsia" w:eastAsiaTheme="minorEastAsia" w:cstheme="minorEastAsia"/>
          <w:color w:val="000000"/>
          <w:kern w:val="0"/>
          <w:szCs w:val="21"/>
          <w:highlight w:val="none"/>
        </w:rPr>
        <w:t>情形下，</w:t>
      </w:r>
      <w:r>
        <w:rPr>
          <w:rFonts w:hint="eastAsia" w:asciiTheme="minorEastAsia" w:hAnsiTheme="minorEastAsia" w:eastAsiaTheme="minorEastAsia" w:cstheme="minorEastAsia"/>
          <w:kern w:val="0"/>
          <w:szCs w:val="21"/>
          <w:highlight w:val="none"/>
          <w:lang w:eastAsia="zh-CN"/>
        </w:rPr>
        <w:t>浮动管理费</w:t>
      </w:r>
      <w:r>
        <w:rPr>
          <w:rFonts w:hint="eastAsia" w:asciiTheme="minorEastAsia" w:hAnsiTheme="minorEastAsia" w:eastAsiaTheme="minorEastAsia" w:cstheme="minorEastAsia"/>
          <w:kern w:val="0"/>
          <w:szCs w:val="21"/>
          <w:highlight w:val="none"/>
        </w:rPr>
        <w:t>=[当期超额报酬计提前净值-当期申购金额×（1+</w:t>
      </w:r>
      <w:r>
        <w:rPr>
          <w:rFonts w:hint="eastAsia" w:asciiTheme="minorEastAsia" w:hAnsiTheme="minorEastAsia" w:eastAsiaTheme="minorEastAsia" w:cstheme="minorEastAsia"/>
          <w:kern w:val="0"/>
          <w:szCs w:val="21"/>
          <w:highlight w:val="none"/>
          <w:lang w:val="en-US" w:eastAsia="zh-CN"/>
        </w:rPr>
        <w:t>c</w:t>
      </w:r>
      <w:r>
        <w:rPr>
          <w:rFonts w:hint="eastAsia" w:asciiTheme="minorEastAsia" w:hAnsiTheme="minorEastAsia" w:eastAsiaTheme="minorEastAsia" w:cstheme="minorEastAsia"/>
          <w:kern w:val="0"/>
          <w:szCs w:val="21"/>
          <w:highlight w:val="none"/>
        </w:rPr>
        <w:t>×D÷365）]×50%</w:t>
      </w:r>
    </w:p>
    <w:p>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R</w:t>
      </w:r>
      <w:r>
        <w:rPr>
          <w:rFonts w:hint="eastAsia" w:asciiTheme="minorEastAsia" w:hAnsiTheme="minorEastAsia" w:eastAsiaTheme="minorEastAsia" w:cstheme="minorEastAsia"/>
          <w:kern w:val="0"/>
          <w:szCs w:val="21"/>
          <w:highlight w:val="none"/>
          <w:vertAlign w:val="subscript"/>
        </w:rPr>
        <w:t>2</w:t>
      </w:r>
      <w:r>
        <w:rPr>
          <w:rFonts w:hint="eastAsia" w:asciiTheme="minorEastAsia" w:hAnsiTheme="minorEastAsia" w:eastAsiaTheme="minorEastAsia" w:cstheme="minorEastAsia"/>
          <w:color w:val="000000"/>
          <w:kern w:val="0"/>
          <w:szCs w:val="21"/>
          <w:highlight w:val="none"/>
        </w:rPr>
        <w:t>情形下，</w:t>
      </w:r>
      <w:r>
        <w:rPr>
          <w:rFonts w:hint="eastAsia" w:asciiTheme="minorEastAsia" w:hAnsiTheme="minorEastAsia" w:eastAsiaTheme="minorEastAsia" w:cstheme="minorEastAsia"/>
          <w:kern w:val="0"/>
          <w:szCs w:val="21"/>
          <w:highlight w:val="none"/>
          <w:lang w:eastAsia="zh-CN"/>
        </w:rPr>
        <w:t>浮动管理费</w:t>
      </w:r>
      <w:r>
        <w:rPr>
          <w:rFonts w:hint="eastAsia" w:asciiTheme="minorEastAsia" w:hAnsiTheme="minorEastAsia" w:eastAsiaTheme="minorEastAsia" w:cstheme="minorEastAsia"/>
          <w:kern w:val="0"/>
          <w:szCs w:val="21"/>
          <w:highlight w:val="none"/>
        </w:rPr>
        <w:t>=[当期超额报酬计提前净值-当期申购金额×（1+</w:t>
      </w:r>
      <w:r>
        <w:rPr>
          <w:rFonts w:hint="eastAsia" w:asciiTheme="minorEastAsia" w:hAnsiTheme="minorEastAsia" w:eastAsiaTheme="minorEastAsia" w:cstheme="minorEastAsia"/>
          <w:kern w:val="0"/>
          <w:szCs w:val="21"/>
          <w:highlight w:val="none"/>
          <w:lang w:val="en-US" w:eastAsia="zh-CN"/>
        </w:rPr>
        <w:t>d</w:t>
      </w:r>
      <w:r>
        <w:rPr>
          <w:rFonts w:hint="eastAsia" w:asciiTheme="minorEastAsia" w:hAnsiTheme="minorEastAsia" w:eastAsiaTheme="minorEastAsia" w:cstheme="minorEastAsia"/>
          <w:kern w:val="0"/>
          <w:szCs w:val="21"/>
          <w:highlight w:val="none"/>
        </w:rPr>
        <w:t>×D÷365)]×80%+[当期申购金额×（1+</w:t>
      </w:r>
      <w:r>
        <w:rPr>
          <w:rFonts w:hint="eastAsia" w:asciiTheme="minorEastAsia" w:hAnsiTheme="minorEastAsia" w:eastAsiaTheme="minorEastAsia" w:cstheme="minorEastAsia"/>
          <w:kern w:val="0"/>
          <w:szCs w:val="21"/>
          <w:highlight w:val="none"/>
          <w:lang w:val="en-US" w:eastAsia="zh-CN"/>
        </w:rPr>
        <w:t>d</w:t>
      </w:r>
      <w:r>
        <w:rPr>
          <w:rFonts w:hint="eastAsia" w:asciiTheme="minorEastAsia" w:hAnsiTheme="minorEastAsia" w:eastAsiaTheme="minorEastAsia" w:cstheme="minorEastAsia"/>
          <w:kern w:val="0"/>
          <w:szCs w:val="21"/>
          <w:highlight w:val="none"/>
        </w:rPr>
        <w:t>×D÷365)-当期申购金额×（1+</w:t>
      </w:r>
      <w:r>
        <w:rPr>
          <w:rFonts w:hint="eastAsia" w:asciiTheme="minorEastAsia" w:hAnsiTheme="minorEastAsia" w:eastAsiaTheme="minorEastAsia" w:cstheme="minorEastAsia"/>
          <w:kern w:val="0"/>
          <w:szCs w:val="21"/>
          <w:highlight w:val="none"/>
          <w:lang w:val="en-US" w:eastAsia="zh-CN"/>
        </w:rPr>
        <w:t>c</w:t>
      </w:r>
      <w:r>
        <w:rPr>
          <w:rFonts w:hint="eastAsia" w:asciiTheme="minorEastAsia" w:hAnsiTheme="minorEastAsia" w:eastAsiaTheme="minorEastAsia" w:cstheme="minorEastAsia"/>
          <w:kern w:val="0"/>
          <w:szCs w:val="21"/>
          <w:highlight w:val="none"/>
        </w:rPr>
        <w:t>×D÷365）]×50%</w:t>
      </w:r>
    </w:p>
    <w:p>
      <w:pP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江阴农商银行有权根据市场情况、产品运作情况对本产品的各项费用费率、年化业绩比较基准以及</w:t>
      </w:r>
      <w:r>
        <w:rPr>
          <w:rFonts w:hint="eastAsia" w:asciiTheme="minorEastAsia" w:hAnsiTheme="minorEastAsia" w:eastAsiaTheme="minorEastAsia" w:cstheme="minorEastAsia"/>
          <w:kern w:val="0"/>
          <w:szCs w:val="21"/>
          <w:highlight w:val="none"/>
          <w:lang w:eastAsia="zh-CN"/>
        </w:rPr>
        <w:t>浮动管理费</w:t>
      </w:r>
      <w:r>
        <w:rPr>
          <w:rFonts w:hint="eastAsia" w:asciiTheme="minorEastAsia" w:hAnsiTheme="minorEastAsia" w:eastAsiaTheme="minorEastAsia" w:cstheme="minorEastAsia"/>
          <w:kern w:val="0"/>
          <w:szCs w:val="21"/>
          <w:highlight w:val="none"/>
        </w:rPr>
        <w:t>计提比例进行调整，并至少于调整日之前2个工作日进行公告。计算过程小数位取舍以管理人系统计算规则为准。</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firstLine="422" w:firstLineChars="200"/>
        <w:jc w:val="left"/>
        <w:textAlignment w:val="auto"/>
        <w:rPr>
          <w:rFonts w:hint="eastAsia" w:cs="仿宋" w:asciiTheme="minorEastAsia" w:hAnsiTheme="minorEastAsia"/>
        </w:rPr>
      </w:pPr>
      <w:r>
        <w:rPr>
          <w:rFonts w:hint="eastAsia" w:asciiTheme="minorEastAsia" w:hAnsiTheme="minorEastAsia" w:cstheme="minorEastAsia"/>
          <w:b/>
          <w:bCs/>
          <w:kern w:val="0"/>
          <w:szCs w:val="21"/>
          <w:highlight w:val="none"/>
          <w:lang w:val="en-US" w:eastAsia="zh-CN"/>
        </w:rPr>
        <w:t>二、具体</w:t>
      </w:r>
      <w:r>
        <w:rPr>
          <w:rFonts w:hint="eastAsia" w:cs="仿宋" w:asciiTheme="minorEastAsia" w:hAnsiTheme="minorEastAsia"/>
          <w:b/>
          <w:bCs/>
          <w:lang w:val="en-US" w:eastAsia="zh-CN"/>
        </w:rPr>
        <w:t>产品：</w:t>
      </w:r>
      <w:r>
        <w:rPr>
          <w:rFonts w:hint="eastAsia" w:cs="仿宋" w:asciiTheme="minorEastAsia" w:hAnsiTheme="minorEastAsia"/>
        </w:rPr>
        <w:t>芙蓉·多策略固收增强18个月定开净值型人民币理财产品</w:t>
      </w:r>
      <w:r>
        <w:rPr>
          <w:rFonts w:hint="eastAsia" w:cs="仿宋" w:asciiTheme="minorEastAsia" w:hAnsiTheme="minorEastAsia"/>
          <w:lang w:eastAsia="zh-CN"/>
        </w:rPr>
        <w:t>、</w:t>
      </w:r>
      <w:r>
        <w:rPr>
          <w:rFonts w:hint="eastAsia" w:cs="仿宋" w:asciiTheme="minorEastAsia" w:hAnsiTheme="minorEastAsia"/>
        </w:rPr>
        <w:t>芙蓉·双年荟萃5号两年定开净值型人民币理财产品</w:t>
      </w:r>
      <w:r>
        <w:rPr>
          <w:rFonts w:hint="eastAsia" w:cs="仿宋" w:asciiTheme="minorEastAsia" w:hAnsiTheme="minorEastAsia"/>
          <w:lang w:eastAsia="zh-CN"/>
        </w:rPr>
        <w:t>、</w:t>
      </w:r>
      <w:r>
        <w:rPr>
          <w:rFonts w:hint="eastAsia" w:cs="仿宋" w:asciiTheme="minorEastAsia" w:hAnsiTheme="minorEastAsia"/>
        </w:rPr>
        <w:t>芙蓉·花开富贵30个月净值型人民币理财产品、芙蓉·三阳开泰2号三年定开净值型人民币理财产品</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firstLine="422" w:firstLineChars="200"/>
        <w:jc w:val="left"/>
        <w:textAlignment w:val="auto"/>
        <w:rPr>
          <w:rFonts w:hint="eastAsia" w:asciiTheme="minorEastAsia" w:hAnsiTheme="minorEastAsia" w:eastAsiaTheme="minorEastAsia" w:cstheme="minorEastAsia"/>
          <w:b/>
          <w:bCs/>
          <w:kern w:val="0"/>
          <w:szCs w:val="21"/>
          <w:highlight w:val="none"/>
          <w:lang w:val="en-US" w:eastAsia="zh-CN"/>
        </w:rPr>
      </w:pPr>
      <w:r>
        <w:rPr>
          <w:rFonts w:hint="eastAsia" w:asciiTheme="minorEastAsia" w:hAnsiTheme="minorEastAsia" w:eastAsiaTheme="minorEastAsia" w:cstheme="minorEastAsia"/>
          <w:b/>
          <w:bCs/>
          <w:kern w:val="0"/>
          <w:szCs w:val="21"/>
          <w:highlight w:val="none"/>
          <w:lang w:val="en-US" w:eastAsia="zh-CN"/>
        </w:rPr>
        <w:t>变更前：</w:t>
      </w:r>
    </w:p>
    <w:p>
      <w:pPr>
        <w:autoSpaceDE w:val="0"/>
        <w:autoSpaceDN w:val="0"/>
        <w:adjustRightInd w:val="0"/>
        <w:rPr>
          <w:rFonts w:hint="eastAsia" w:ascii="仿宋" w:hAnsi="仿宋" w:eastAsia="仿宋" w:cs="仿宋"/>
          <w:kern w:val="0"/>
          <w:szCs w:val="21"/>
        </w:rPr>
      </w:pPr>
      <w:r>
        <w:rPr>
          <w:rFonts w:hint="eastAsia" w:ascii="仿宋" w:hAnsi="仿宋" w:eastAsia="仿宋" w:cs="宋体w泡.."/>
          <w:kern w:val="0"/>
          <w:szCs w:val="21"/>
        </w:rPr>
        <w:t>超额业绩报酬：</w:t>
      </w:r>
      <w:r>
        <w:rPr>
          <w:rFonts w:hint="eastAsia" w:ascii="仿宋" w:hAnsi="仿宋" w:eastAsia="仿宋" w:cs="仿宋"/>
          <w:kern w:val="0"/>
          <w:szCs w:val="21"/>
        </w:rPr>
        <w:t>若每个封闭周期终止日，扣除销售手续费、产品托管费、运营管理费、固定管理费及相关税费后，理财资金收益折合年化收益率R超过当期年化业绩比较基准r下限a（以最新公布的为准），则江阴农商银行有权按以下超额累计方式计提比例收取当封闭周期的超额业绩报酬。</w:t>
      </w:r>
    </w:p>
    <w:p>
      <w:pPr>
        <w:spacing w:line="240" w:lineRule="auto"/>
        <w:rPr>
          <w:rFonts w:hint="eastAsia" w:ascii="仿宋" w:hAnsi="仿宋" w:eastAsia="仿宋" w:cs="仿宋"/>
          <w:kern w:val="0"/>
          <w:szCs w:val="21"/>
        </w:rPr>
      </w:pPr>
      <w:r>
        <w:rPr>
          <w:rFonts w:hint="eastAsia" w:ascii="仿宋" w:hAnsi="仿宋" w:eastAsia="仿宋" w:cs="仿宋"/>
          <w:kern w:val="0"/>
          <w:szCs w:val="21"/>
        </w:rPr>
        <w:t>超额业绩报酬计提前的封闭周期年化收益率：</w:t>
      </w:r>
    </w:p>
    <w:p>
      <w:pPr>
        <w:spacing w:line="240" w:lineRule="auto"/>
        <w:jc w:val="center"/>
        <w:rPr>
          <w:rFonts w:hint="eastAsia" w:ascii="仿宋" w:hAnsi="仿宋" w:eastAsia="仿宋" w:cs="仿宋"/>
          <w:szCs w:val="21"/>
        </w:rPr>
      </w:pPr>
      <m:oMath>
        <m:r>
          <m:rPr>
            <m:sty m:val="p"/>
          </m:rPr>
          <w:rPr>
            <w:rFonts w:hint="eastAsia" w:ascii="Cambria Math" w:hAnsi="Cambria Math" w:eastAsia="仿宋" w:cs="仿宋"/>
            <w:szCs w:val="21"/>
          </w:rPr>
          <m:t>R=</m:t>
        </m:r>
        <m:f>
          <m:fPr>
            <m:ctrlPr>
              <w:rPr>
                <w:rFonts w:hint="eastAsia" w:ascii="Cambria Math" w:hAnsi="Cambria Math" w:eastAsia="仿宋" w:cs="仿宋"/>
                <w:szCs w:val="21"/>
              </w:rPr>
            </m:ctrlPr>
          </m:fPr>
          <m:num>
            <m:d>
              <m:dPr>
                <m:ctrlPr>
                  <w:rPr>
                    <w:rFonts w:hint="eastAsia" w:ascii="Cambria Math" w:hAnsi="Cambria Math" w:eastAsia="仿宋" w:cs="仿宋"/>
                    <w:i/>
                    <w:szCs w:val="21"/>
                  </w:rPr>
                </m:ctrlPr>
              </m:dPr>
              <m:e>
                <m:f>
                  <m:fPr>
                    <m:ctrlPr>
                      <w:rPr>
                        <w:rFonts w:hint="eastAsia" w:ascii="Cambria Math" w:hAnsi="Cambria Math" w:eastAsia="仿宋" w:cs="仿宋"/>
                        <w:i/>
                        <w:szCs w:val="21"/>
                      </w:rPr>
                    </m:ctrlPr>
                  </m:fPr>
                  <m:num>
                    <m:sSub>
                      <m:sSubPr>
                        <m:ctrlPr>
                          <w:rPr>
                            <w:rFonts w:hint="eastAsia" w:ascii="Cambria Math" w:hAnsi="Cambria Math" w:eastAsia="仿宋" w:cs="仿宋"/>
                            <w:i/>
                            <w:szCs w:val="21"/>
                          </w:rPr>
                        </m:ctrlPr>
                      </m:sSubPr>
                      <m:e>
                        <m:r>
                          <w:rPr>
                            <w:rFonts w:hint="eastAsia" w:ascii="Cambria Math" w:hAnsi="Cambria Math" w:eastAsia="仿宋" w:cs="仿宋"/>
                            <w:szCs w:val="21"/>
                          </w:rPr>
                          <m:t>P</m:t>
                        </m:r>
                        <m:ctrlPr>
                          <w:rPr>
                            <w:rFonts w:hint="eastAsia" w:ascii="Cambria Math" w:hAnsi="Cambria Math" w:eastAsia="仿宋" w:cs="仿宋"/>
                            <w:i/>
                            <w:szCs w:val="21"/>
                          </w:rPr>
                        </m:ctrlPr>
                      </m:e>
                      <m:sub>
                        <m:r>
                          <m:rPr>
                            <m:sty m:val="p"/>
                          </m:rPr>
                          <w:rPr>
                            <w:rFonts w:hint="eastAsia" w:ascii="Cambria Math" w:hAnsi="Cambria Math" w:eastAsia="仿宋" w:cs="仿宋"/>
                            <w:szCs w:val="21"/>
                          </w:rPr>
                          <m:t>期末净值</m:t>
                        </m:r>
                        <m:ctrlPr>
                          <w:rPr>
                            <w:rFonts w:hint="eastAsia" w:ascii="Cambria Math" w:hAnsi="Cambria Math" w:eastAsia="仿宋" w:cs="仿宋"/>
                            <w:i/>
                            <w:szCs w:val="21"/>
                          </w:rPr>
                        </m:ctrlPr>
                      </m:sub>
                    </m:sSub>
                    <m:r>
                      <w:rPr>
                        <w:rFonts w:hint="eastAsia" w:ascii="Cambria Math" w:hAnsi="Cambria Math" w:eastAsia="仿宋" w:cs="仿宋"/>
                        <w:szCs w:val="21"/>
                      </w:rPr>
                      <m:t>-</m:t>
                    </m:r>
                    <m:sSub>
                      <m:sSubPr>
                        <m:ctrlPr>
                          <w:rPr>
                            <w:rFonts w:hint="eastAsia" w:ascii="Cambria Math" w:hAnsi="Cambria Math" w:eastAsia="仿宋" w:cs="仿宋"/>
                            <w:i/>
                            <w:szCs w:val="21"/>
                          </w:rPr>
                        </m:ctrlPr>
                      </m:sSubPr>
                      <m:e>
                        <m:r>
                          <w:rPr>
                            <w:rFonts w:hint="eastAsia" w:ascii="Cambria Math" w:hAnsi="Cambria Math" w:eastAsia="仿宋" w:cs="仿宋"/>
                            <w:szCs w:val="21"/>
                          </w:rPr>
                          <m:t>P</m:t>
                        </m:r>
                        <m:ctrlPr>
                          <w:rPr>
                            <w:rFonts w:hint="eastAsia" w:ascii="Cambria Math" w:hAnsi="Cambria Math" w:eastAsia="仿宋" w:cs="仿宋"/>
                            <w:i/>
                            <w:szCs w:val="21"/>
                          </w:rPr>
                        </m:ctrlPr>
                      </m:e>
                      <m:sub>
                        <m:r>
                          <m:rPr>
                            <m:sty m:val="p"/>
                          </m:rPr>
                          <w:rPr>
                            <w:rFonts w:hint="eastAsia" w:ascii="Cambria Math" w:hAnsi="Cambria Math" w:eastAsia="仿宋" w:cs="仿宋"/>
                            <w:szCs w:val="21"/>
                          </w:rPr>
                          <m:t>期初净值</m:t>
                        </m:r>
                        <m:ctrlPr>
                          <w:rPr>
                            <w:rFonts w:hint="eastAsia" w:ascii="Cambria Math" w:hAnsi="Cambria Math" w:eastAsia="仿宋" w:cs="仿宋"/>
                            <w:i/>
                            <w:szCs w:val="21"/>
                          </w:rPr>
                        </m:ctrlPr>
                      </m:sub>
                    </m:sSub>
                    <m:ctrlPr>
                      <w:rPr>
                        <w:rFonts w:hint="eastAsia" w:ascii="Cambria Math" w:hAnsi="Cambria Math" w:eastAsia="仿宋" w:cs="仿宋"/>
                        <w:i/>
                        <w:szCs w:val="21"/>
                      </w:rPr>
                    </m:ctrlPr>
                  </m:num>
                  <m:den>
                    <m:sSub>
                      <m:sSubPr>
                        <m:ctrlPr>
                          <w:rPr>
                            <w:rFonts w:hint="eastAsia" w:ascii="Cambria Math" w:hAnsi="Cambria Math" w:eastAsia="仿宋" w:cs="仿宋"/>
                            <w:i/>
                            <w:szCs w:val="21"/>
                          </w:rPr>
                        </m:ctrlPr>
                      </m:sSubPr>
                      <m:e>
                        <m:r>
                          <w:rPr>
                            <w:rFonts w:hint="eastAsia" w:ascii="Cambria Math" w:hAnsi="Cambria Math" w:eastAsia="仿宋" w:cs="仿宋"/>
                            <w:szCs w:val="21"/>
                          </w:rPr>
                          <m:t>P</m:t>
                        </m:r>
                        <m:ctrlPr>
                          <w:rPr>
                            <w:rFonts w:hint="eastAsia" w:ascii="Cambria Math" w:hAnsi="Cambria Math" w:eastAsia="仿宋" w:cs="仿宋"/>
                            <w:i/>
                            <w:szCs w:val="21"/>
                          </w:rPr>
                        </m:ctrlPr>
                      </m:e>
                      <m:sub>
                        <m:r>
                          <m:rPr>
                            <m:sty m:val="p"/>
                          </m:rPr>
                          <w:rPr>
                            <w:rFonts w:hint="eastAsia" w:ascii="Cambria Math" w:hAnsi="Cambria Math" w:eastAsia="仿宋" w:cs="仿宋"/>
                            <w:szCs w:val="21"/>
                          </w:rPr>
                          <m:t>期初净值</m:t>
                        </m:r>
                        <m:ctrlPr>
                          <w:rPr>
                            <w:rFonts w:hint="eastAsia" w:ascii="Cambria Math" w:hAnsi="Cambria Math" w:eastAsia="仿宋" w:cs="仿宋"/>
                            <w:i/>
                            <w:szCs w:val="21"/>
                          </w:rPr>
                        </m:ctrlPr>
                      </m:sub>
                    </m:sSub>
                    <m:ctrlPr>
                      <w:rPr>
                        <w:rFonts w:hint="eastAsia" w:ascii="Cambria Math" w:hAnsi="Cambria Math" w:eastAsia="仿宋" w:cs="仿宋"/>
                        <w:i/>
                        <w:szCs w:val="21"/>
                      </w:rPr>
                    </m:ctrlPr>
                  </m:den>
                </m:f>
                <m:ctrlPr>
                  <w:rPr>
                    <w:rFonts w:hint="eastAsia" w:ascii="Cambria Math" w:hAnsi="Cambria Math" w:eastAsia="仿宋" w:cs="仿宋"/>
                    <w:i/>
                    <w:szCs w:val="21"/>
                  </w:rPr>
                </m:ctrlPr>
              </m:e>
            </m:d>
            <m:ctrlPr>
              <w:rPr>
                <w:rFonts w:hint="eastAsia" w:ascii="Cambria Math" w:hAnsi="Cambria Math" w:eastAsia="仿宋" w:cs="仿宋"/>
                <w:szCs w:val="21"/>
              </w:rPr>
            </m:ctrlPr>
          </m:num>
          <m:den>
            <m:r>
              <w:rPr>
                <w:rFonts w:hint="eastAsia" w:ascii="Cambria Math" w:hAnsi="Cambria Math" w:eastAsia="仿宋" w:cs="仿宋"/>
                <w:szCs w:val="21"/>
              </w:rPr>
              <m:t>D</m:t>
            </m:r>
            <m:ctrlPr>
              <w:rPr>
                <w:rFonts w:hint="eastAsia" w:ascii="Cambria Math" w:hAnsi="Cambria Math" w:eastAsia="仿宋" w:cs="仿宋"/>
                <w:szCs w:val="21"/>
              </w:rPr>
            </m:ctrlPr>
          </m:den>
        </m:f>
      </m:oMath>
      <w:r>
        <w:rPr>
          <w:rFonts w:hint="eastAsia" w:ascii="仿宋" w:hAnsi="仿宋" w:eastAsia="仿宋" w:cs="仿宋"/>
          <w:szCs w:val="21"/>
        </w:rPr>
        <w:t>×365</w:t>
      </w:r>
    </w:p>
    <w:p>
      <w:pPr>
        <w:spacing w:line="240" w:lineRule="auto"/>
        <w:jc w:val="left"/>
        <w:rPr>
          <w:rFonts w:hint="eastAsia" w:ascii="仿宋" w:hAnsi="仿宋" w:eastAsia="仿宋" w:cs="仿宋"/>
          <w:kern w:val="0"/>
          <w:szCs w:val="21"/>
        </w:rPr>
      </w:pPr>
      <w:r>
        <w:rPr>
          <w:rFonts w:hint="eastAsia" w:ascii="仿宋" w:hAnsi="仿宋" w:eastAsia="仿宋" w:cs="仿宋"/>
          <w:kern w:val="0"/>
          <w:szCs w:val="21"/>
        </w:rPr>
        <w:t>其中，</w:t>
      </w:r>
      <m:oMath>
        <m:sSub>
          <m:sSubPr>
            <m:ctrlPr>
              <w:rPr>
                <w:rFonts w:hint="eastAsia" w:ascii="Cambria Math" w:hAnsi="Cambria Math" w:eastAsia="仿宋" w:cs="仿宋"/>
                <w:i/>
                <w:szCs w:val="21"/>
              </w:rPr>
            </m:ctrlPr>
          </m:sSubPr>
          <m:e>
            <m:r>
              <w:rPr>
                <w:rFonts w:hint="eastAsia" w:ascii="Cambria Math" w:hAnsi="Cambria Math" w:eastAsia="仿宋" w:cs="仿宋"/>
                <w:szCs w:val="21"/>
              </w:rPr>
              <m:t>P</m:t>
            </m:r>
            <m:ctrlPr>
              <w:rPr>
                <w:rFonts w:hint="eastAsia" w:ascii="Cambria Math" w:hAnsi="Cambria Math" w:eastAsia="仿宋" w:cs="仿宋"/>
                <w:i/>
                <w:szCs w:val="21"/>
              </w:rPr>
            </m:ctrlPr>
          </m:e>
          <m:sub>
            <m:r>
              <m:rPr>
                <m:sty m:val="p"/>
              </m:rPr>
              <w:rPr>
                <w:rFonts w:hint="eastAsia" w:ascii="Cambria Math" w:hAnsi="Cambria Math" w:eastAsia="仿宋" w:cs="仿宋"/>
                <w:szCs w:val="21"/>
              </w:rPr>
              <m:t>期末净值</m:t>
            </m:r>
            <m:ctrlPr>
              <w:rPr>
                <w:rFonts w:hint="eastAsia" w:ascii="Cambria Math" w:hAnsi="Cambria Math" w:eastAsia="仿宋" w:cs="仿宋"/>
                <w:i/>
                <w:szCs w:val="21"/>
              </w:rPr>
            </m:ctrlPr>
          </m:sub>
        </m:sSub>
      </m:oMath>
      <w:r>
        <w:rPr>
          <w:rFonts w:hint="eastAsia" w:ascii="仿宋" w:hAnsi="仿宋" w:eastAsia="仿宋" w:cs="仿宋"/>
          <w:kern w:val="0"/>
          <w:szCs w:val="21"/>
        </w:rPr>
        <w:t xml:space="preserve">表示当期投资周期期末超额业绩报酬计提前的单位净值，即投资周期终止日前一个工作日的超额业绩报酬计提前的理财产品净值， </w:t>
      </w:r>
      <m:oMath>
        <m:sSub>
          <m:sSubPr>
            <m:ctrlPr>
              <w:rPr>
                <w:rFonts w:hint="eastAsia" w:ascii="Cambria Math" w:hAnsi="Cambria Math" w:eastAsia="仿宋" w:cs="仿宋"/>
                <w:i/>
                <w:szCs w:val="21"/>
              </w:rPr>
            </m:ctrlPr>
          </m:sSubPr>
          <m:e>
            <m:r>
              <w:rPr>
                <w:rFonts w:hint="eastAsia" w:ascii="Cambria Math" w:hAnsi="Cambria Math" w:eastAsia="仿宋" w:cs="仿宋"/>
                <w:szCs w:val="21"/>
              </w:rPr>
              <m:t>P</m:t>
            </m:r>
            <m:ctrlPr>
              <w:rPr>
                <w:rFonts w:hint="eastAsia" w:ascii="Cambria Math" w:hAnsi="Cambria Math" w:eastAsia="仿宋" w:cs="仿宋"/>
                <w:i/>
                <w:szCs w:val="21"/>
              </w:rPr>
            </m:ctrlPr>
          </m:e>
          <m:sub>
            <m:r>
              <m:rPr>
                <m:sty m:val="p"/>
              </m:rPr>
              <w:rPr>
                <w:rFonts w:hint="eastAsia" w:ascii="Cambria Math" w:hAnsi="Cambria Math" w:eastAsia="仿宋" w:cs="仿宋"/>
                <w:szCs w:val="21"/>
              </w:rPr>
              <m:t>期初净值</m:t>
            </m:r>
            <m:ctrlPr>
              <w:rPr>
                <w:rFonts w:hint="eastAsia" w:ascii="Cambria Math" w:hAnsi="Cambria Math" w:eastAsia="仿宋" w:cs="仿宋"/>
                <w:i/>
                <w:szCs w:val="21"/>
              </w:rPr>
            </m:ctrlPr>
          </m:sub>
        </m:sSub>
      </m:oMath>
      <w:r>
        <w:rPr>
          <w:rFonts w:hint="eastAsia" w:ascii="仿宋" w:hAnsi="仿宋" w:eastAsia="仿宋" w:cs="仿宋"/>
          <w:kern w:val="0"/>
          <w:szCs w:val="21"/>
        </w:rPr>
        <w:t>表示当期投资周期的申购单位净值，即申购确认日前一个工作日的理财产品净值；D表示当期投资周期，即产品固定持有天数；r表示当期份额确认日的年化业绩比较基准；b表示当期份额确认日的年化业绩比较基准上限；a表示当期份额确认日的年化业绩比较基准下限。</w:t>
      </w:r>
    </w:p>
    <w:p>
      <w:pPr>
        <w:spacing w:line="240" w:lineRule="auto"/>
        <w:jc w:val="left"/>
        <w:rPr>
          <w:rFonts w:hint="eastAsia" w:ascii="仿宋" w:hAnsi="仿宋" w:eastAsia="仿宋" w:cs="仿宋"/>
          <w:b/>
          <w:kern w:val="0"/>
          <w:szCs w:val="21"/>
        </w:rPr>
      </w:pPr>
      <w:r>
        <w:rPr>
          <w:rFonts w:hint="eastAsia" w:ascii="仿宋" w:hAnsi="仿宋" w:eastAsia="仿宋" w:cs="仿宋"/>
          <w:b/>
          <w:kern w:val="0"/>
          <w:szCs w:val="21"/>
        </w:rPr>
        <w:t>超额业绩报酬计提比例公式如下：</w:t>
      </w:r>
    </w:p>
    <w:tbl>
      <w:tblPr>
        <w:tblStyle w:val="5"/>
        <w:tblW w:w="59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4"/>
        <w:gridCol w:w="20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jc w:val="left"/>
              <w:rPr>
                <w:rFonts w:hint="eastAsia" w:ascii="宋体" w:hAnsi="宋体" w:cs="宋体"/>
                <w:kern w:val="0"/>
                <w:sz w:val="15"/>
                <w:szCs w:val="15"/>
              </w:rPr>
            </w:pPr>
            <w:r>
              <w:rPr>
                <w:rFonts w:hint="eastAsia" w:ascii="宋体" w:hAnsi="宋体" w:cs="宋体"/>
                <w:kern w:val="0"/>
                <w:sz w:val="15"/>
                <w:szCs w:val="15"/>
              </w:rPr>
              <w:t>超额业绩报酬计提前的当日年化收益率</w:t>
            </w:r>
          </w:p>
        </w:tc>
        <w:tc>
          <w:tcPr>
            <w:tcW w:w="2044" w:type="dxa"/>
          </w:tcPr>
          <w:p>
            <w:pPr>
              <w:jc w:val="left"/>
              <w:rPr>
                <w:rFonts w:hint="eastAsia" w:ascii="宋体" w:hAnsi="宋体" w:cs="宋体"/>
                <w:kern w:val="0"/>
                <w:sz w:val="15"/>
                <w:szCs w:val="15"/>
              </w:rPr>
            </w:pPr>
            <w:r>
              <w:rPr>
                <w:rFonts w:hint="eastAsia" w:ascii="宋体" w:hAnsi="宋体" w:cs="宋体"/>
                <w:kern w:val="0"/>
                <w:sz w:val="15"/>
                <w:szCs w:val="15"/>
              </w:rPr>
              <w:t>超额业绩报酬（I）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jc w:val="left"/>
              <w:rPr>
                <w:rFonts w:hint="eastAsia" w:ascii="仿宋" w:hAnsi="仿宋" w:eastAsia="仿宋" w:cs="仿宋"/>
                <w:kern w:val="0"/>
                <w:szCs w:val="21"/>
              </w:rPr>
            </w:pPr>
            <w:r>
              <w:rPr>
                <w:rFonts w:hint="eastAsia" w:ascii="仿宋" w:hAnsi="仿宋" w:eastAsia="仿宋" w:cs="仿宋"/>
                <w:kern w:val="0"/>
                <w:szCs w:val="21"/>
              </w:rPr>
              <w:t>R≤a</w:t>
            </w:r>
          </w:p>
        </w:tc>
        <w:tc>
          <w:tcPr>
            <w:tcW w:w="2044" w:type="dxa"/>
          </w:tcPr>
          <w:p>
            <w:pPr>
              <w:jc w:val="left"/>
              <w:rPr>
                <w:rFonts w:hint="eastAsia" w:ascii="仿宋" w:hAnsi="仿宋" w:eastAsia="仿宋" w:cs="仿宋"/>
                <w:color w:val="000000"/>
                <w:kern w:val="0"/>
                <w:szCs w:val="21"/>
              </w:rPr>
            </w:pPr>
            <w:r>
              <w:rPr>
                <w:rFonts w:hint="eastAsia" w:ascii="仿宋" w:hAnsi="仿宋" w:eastAsia="仿宋" w:cs="仿宋"/>
                <w:color w:val="000000"/>
                <w:kern w:val="0"/>
                <w:szCs w:val="21"/>
              </w:rPr>
              <w:t>I=</w:t>
            </w:r>
            <w:r>
              <w:rPr>
                <w:rFonts w:hint="eastAsia" w:ascii="仿宋" w:hAnsi="仿宋" w:eastAsia="仿宋" w:cs="仿宋"/>
                <w:kern w:val="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jc w:val="left"/>
              <w:rPr>
                <w:rFonts w:hint="eastAsia" w:ascii="仿宋" w:hAnsi="仿宋" w:eastAsia="仿宋" w:cs="仿宋"/>
                <w:kern w:val="0"/>
                <w:szCs w:val="21"/>
              </w:rPr>
            </w:pPr>
            <w:r>
              <w:rPr>
                <w:rFonts w:hint="eastAsia" w:ascii="仿宋" w:hAnsi="仿宋" w:eastAsia="仿宋" w:cs="仿宋"/>
                <w:kern w:val="0"/>
                <w:szCs w:val="21"/>
              </w:rPr>
              <w:t>a＜R</w:t>
            </w:r>
            <w:r>
              <w:rPr>
                <w:rFonts w:hint="eastAsia" w:ascii="仿宋" w:hAnsi="仿宋" w:eastAsia="仿宋" w:cs="仿宋"/>
                <w:kern w:val="0"/>
                <w:szCs w:val="21"/>
                <w:vertAlign w:val="subscript"/>
              </w:rPr>
              <w:t>1</w:t>
            </w:r>
            <w:r>
              <w:rPr>
                <w:rFonts w:hint="eastAsia" w:ascii="仿宋" w:hAnsi="仿宋" w:eastAsia="仿宋" w:cs="仿宋"/>
                <w:kern w:val="0"/>
                <w:szCs w:val="21"/>
              </w:rPr>
              <w:t>≤b</w:t>
            </w:r>
          </w:p>
        </w:tc>
        <w:tc>
          <w:tcPr>
            <w:tcW w:w="2044" w:type="dxa"/>
          </w:tcPr>
          <w:p>
            <w:pPr>
              <w:jc w:val="left"/>
              <w:rPr>
                <w:rFonts w:hint="eastAsia" w:ascii="仿宋" w:hAnsi="仿宋" w:eastAsia="仿宋" w:cs="仿宋"/>
                <w:kern w:val="0"/>
                <w:szCs w:val="21"/>
              </w:rPr>
            </w:pPr>
            <w:r>
              <w:rPr>
                <w:rFonts w:hint="eastAsia" w:ascii="仿宋" w:hAnsi="仿宋" w:eastAsia="仿宋" w:cs="仿宋"/>
                <w:color w:val="000000"/>
                <w:kern w:val="0"/>
                <w:szCs w:val="21"/>
              </w:rPr>
              <w:t>I</w:t>
            </w:r>
            <w:r>
              <w:rPr>
                <w:rFonts w:hint="eastAsia" w:ascii="仿宋" w:hAnsi="仿宋" w:eastAsia="仿宋" w:cs="仿宋"/>
                <w:color w:val="000000"/>
                <w:kern w:val="0"/>
                <w:szCs w:val="21"/>
                <w:vertAlign w:val="subscript"/>
              </w:rPr>
              <w:t>1</w:t>
            </w:r>
            <w:r>
              <w:rPr>
                <w:rFonts w:hint="eastAsia" w:ascii="仿宋" w:hAnsi="仿宋" w:eastAsia="仿宋" w:cs="仿宋"/>
                <w:kern w:val="0"/>
                <w:szCs w:val="21"/>
              </w:rPr>
              <w:t>=(R</w:t>
            </w:r>
            <w:r>
              <w:rPr>
                <w:rFonts w:hint="eastAsia" w:ascii="仿宋" w:hAnsi="仿宋" w:eastAsia="仿宋" w:cs="仿宋"/>
                <w:kern w:val="0"/>
                <w:szCs w:val="21"/>
                <w:vertAlign w:val="subscript"/>
              </w:rPr>
              <w:t>1</w:t>
            </w:r>
            <w:r>
              <w:rPr>
                <w:rFonts w:hint="eastAsia" w:ascii="仿宋" w:hAnsi="仿宋" w:eastAsia="仿宋" w:cs="仿宋"/>
                <w:kern w:val="0"/>
                <w:szCs w:val="21"/>
              </w:rPr>
              <w:t>-a)×50%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jc w:val="left"/>
              <w:rPr>
                <w:rFonts w:hint="eastAsia" w:ascii="仿宋" w:hAnsi="仿宋" w:eastAsia="仿宋" w:cs="仿宋"/>
                <w:kern w:val="0"/>
                <w:szCs w:val="21"/>
              </w:rPr>
            </w:pPr>
            <w:r>
              <w:rPr>
                <w:rFonts w:hint="eastAsia" w:ascii="仿宋" w:hAnsi="仿宋" w:eastAsia="仿宋" w:cs="仿宋"/>
                <w:kern w:val="0"/>
                <w:szCs w:val="21"/>
              </w:rPr>
              <w:t>b＜R</w:t>
            </w:r>
            <w:r>
              <w:rPr>
                <w:rFonts w:hint="eastAsia" w:ascii="仿宋" w:hAnsi="仿宋" w:eastAsia="仿宋" w:cs="仿宋"/>
                <w:kern w:val="0"/>
                <w:szCs w:val="21"/>
                <w:vertAlign w:val="subscript"/>
              </w:rPr>
              <w:t>2</w:t>
            </w:r>
          </w:p>
        </w:tc>
        <w:tc>
          <w:tcPr>
            <w:tcW w:w="2044" w:type="dxa"/>
          </w:tcPr>
          <w:p>
            <w:pPr>
              <w:jc w:val="left"/>
              <w:rPr>
                <w:rFonts w:hint="eastAsia" w:ascii="仿宋" w:hAnsi="仿宋" w:eastAsia="仿宋" w:cs="仿宋"/>
                <w:kern w:val="0"/>
                <w:szCs w:val="21"/>
              </w:rPr>
            </w:pPr>
            <w:r>
              <w:rPr>
                <w:rFonts w:hint="eastAsia" w:ascii="仿宋" w:hAnsi="仿宋" w:eastAsia="仿宋" w:cs="仿宋"/>
                <w:color w:val="000000"/>
                <w:kern w:val="0"/>
                <w:szCs w:val="21"/>
              </w:rPr>
              <w:t>I</w:t>
            </w:r>
            <w:r>
              <w:rPr>
                <w:rFonts w:hint="eastAsia" w:ascii="仿宋" w:hAnsi="仿宋" w:eastAsia="仿宋" w:cs="仿宋"/>
                <w:color w:val="000000"/>
                <w:kern w:val="0"/>
                <w:szCs w:val="21"/>
                <w:vertAlign w:val="subscript"/>
              </w:rPr>
              <w:t>2</w:t>
            </w:r>
            <w:r>
              <w:rPr>
                <w:rFonts w:hint="eastAsia" w:ascii="仿宋" w:hAnsi="仿宋" w:eastAsia="仿宋" w:cs="仿宋"/>
                <w:kern w:val="0"/>
                <w:szCs w:val="21"/>
              </w:rPr>
              <w:t>=(R</w:t>
            </w:r>
            <w:r>
              <w:rPr>
                <w:rFonts w:hint="eastAsia" w:ascii="仿宋" w:hAnsi="仿宋" w:eastAsia="仿宋" w:cs="仿宋"/>
                <w:kern w:val="0"/>
                <w:szCs w:val="21"/>
                <w:vertAlign w:val="subscript"/>
              </w:rPr>
              <w:t>2</w:t>
            </w:r>
            <w:r>
              <w:rPr>
                <w:rFonts w:hint="eastAsia" w:ascii="仿宋" w:hAnsi="仿宋" w:eastAsia="仿宋" w:cs="仿宋"/>
                <w:kern w:val="0"/>
                <w:szCs w:val="21"/>
              </w:rPr>
              <w:t>-b)×80%</w:t>
            </w:r>
          </w:p>
        </w:tc>
      </w:tr>
    </w:tbl>
    <w:p>
      <w:pPr>
        <w:spacing w:line="240" w:lineRule="auto"/>
        <w:jc w:val="left"/>
        <w:rPr>
          <w:rFonts w:hint="eastAsia" w:ascii="仿宋" w:hAnsi="仿宋" w:eastAsia="仿宋" w:cs="仿宋"/>
          <w:kern w:val="0"/>
          <w:szCs w:val="21"/>
        </w:rPr>
      </w:pPr>
      <w:r>
        <w:rPr>
          <w:rFonts w:hint="eastAsia" w:ascii="仿宋" w:hAnsi="仿宋" w:eastAsia="仿宋" w:cs="仿宋"/>
          <w:kern w:val="0"/>
          <w:szCs w:val="21"/>
        </w:rPr>
        <w:t>其中，I表示计提的超额业绩报酬比例，计提方式采用超额累进方式，例如当R=4.35%，a=3.35%，b=3.85%,则江阴农商银行收取的超额业绩报酬比例为I=</w:t>
      </w:r>
      <w:r>
        <w:rPr>
          <w:rFonts w:hint="eastAsia" w:ascii="仿宋" w:hAnsi="仿宋" w:eastAsia="仿宋" w:cs="仿宋"/>
          <w:color w:val="000000"/>
          <w:kern w:val="0"/>
          <w:szCs w:val="21"/>
        </w:rPr>
        <w:t>I</w:t>
      </w:r>
      <w:r>
        <w:rPr>
          <w:rFonts w:hint="eastAsia" w:ascii="仿宋" w:hAnsi="仿宋" w:eastAsia="仿宋" w:cs="仿宋"/>
          <w:color w:val="000000"/>
          <w:kern w:val="0"/>
          <w:szCs w:val="21"/>
          <w:vertAlign w:val="subscript"/>
        </w:rPr>
        <w:t>1</w:t>
      </w:r>
      <w:r>
        <w:rPr>
          <w:rFonts w:hint="eastAsia" w:ascii="仿宋" w:hAnsi="仿宋" w:eastAsia="仿宋" w:cs="仿宋"/>
          <w:color w:val="000000"/>
          <w:kern w:val="0"/>
          <w:szCs w:val="21"/>
        </w:rPr>
        <w:t>+</w:t>
      </w:r>
      <w:r>
        <w:rPr>
          <w:rFonts w:hint="eastAsia" w:ascii="仿宋" w:hAnsi="仿宋" w:eastAsia="仿宋" w:cs="仿宋"/>
          <w:kern w:val="0"/>
          <w:szCs w:val="21"/>
        </w:rPr>
        <w:t>I</w:t>
      </w:r>
      <w:r>
        <w:rPr>
          <w:rFonts w:hint="eastAsia" w:ascii="仿宋" w:hAnsi="仿宋" w:eastAsia="仿宋" w:cs="仿宋"/>
          <w:kern w:val="0"/>
          <w:szCs w:val="21"/>
          <w:vertAlign w:val="subscript"/>
        </w:rPr>
        <w:t>2</w:t>
      </w:r>
      <w:r>
        <w:rPr>
          <w:rFonts w:hint="eastAsia" w:ascii="仿宋" w:hAnsi="仿宋" w:eastAsia="仿宋" w:cs="仿宋"/>
          <w:kern w:val="0"/>
          <w:szCs w:val="21"/>
        </w:rPr>
        <w:t>=0.65%。</w:t>
      </w:r>
    </w:p>
    <w:p>
      <w:pPr>
        <w:jc w:val="left"/>
        <w:rPr>
          <w:rFonts w:hint="eastAsia" w:ascii="仿宋" w:hAnsi="仿宋" w:eastAsia="仿宋" w:cs="仿宋"/>
          <w:kern w:val="0"/>
          <w:szCs w:val="21"/>
        </w:rPr>
      </w:pPr>
      <w:r>
        <w:rPr>
          <w:rFonts w:hint="eastAsia" w:ascii="仿宋" w:hAnsi="仿宋" w:eastAsia="仿宋" w:cs="仿宋"/>
          <w:kern w:val="0"/>
          <w:szCs w:val="21"/>
        </w:rPr>
        <w:t>R</w:t>
      </w:r>
      <w:r>
        <w:rPr>
          <w:rFonts w:hint="eastAsia" w:ascii="仿宋" w:hAnsi="仿宋" w:eastAsia="仿宋" w:cs="仿宋"/>
          <w:color w:val="000000"/>
          <w:kern w:val="0"/>
          <w:szCs w:val="21"/>
        </w:rPr>
        <w:t>情形下，</w:t>
      </w:r>
      <w:r>
        <w:rPr>
          <w:rFonts w:hint="eastAsia" w:ascii="仿宋" w:hAnsi="仿宋" w:eastAsia="仿宋" w:cs="仿宋"/>
          <w:kern w:val="0"/>
          <w:szCs w:val="21"/>
        </w:rPr>
        <w:t>不再计提超额业绩报酬</w:t>
      </w:r>
    </w:p>
    <w:p>
      <w:pPr>
        <w:jc w:val="left"/>
        <w:rPr>
          <w:rFonts w:hint="eastAsia" w:ascii="仿宋" w:hAnsi="仿宋" w:eastAsia="仿宋" w:cs="仿宋"/>
          <w:kern w:val="0"/>
          <w:szCs w:val="21"/>
        </w:rPr>
      </w:pPr>
      <w:r>
        <w:rPr>
          <w:rFonts w:hint="eastAsia" w:ascii="仿宋" w:hAnsi="仿宋" w:eastAsia="仿宋" w:cs="仿宋"/>
          <w:kern w:val="0"/>
          <w:szCs w:val="21"/>
        </w:rPr>
        <w:t>R</w:t>
      </w:r>
      <w:r>
        <w:rPr>
          <w:rFonts w:hint="eastAsia" w:ascii="仿宋" w:hAnsi="仿宋" w:eastAsia="仿宋" w:cs="仿宋"/>
          <w:kern w:val="0"/>
          <w:szCs w:val="21"/>
          <w:vertAlign w:val="subscript"/>
        </w:rPr>
        <w:t>1</w:t>
      </w:r>
      <w:r>
        <w:rPr>
          <w:rFonts w:hint="eastAsia" w:ascii="仿宋" w:hAnsi="仿宋" w:eastAsia="仿宋" w:cs="仿宋"/>
          <w:color w:val="000000"/>
          <w:kern w:val="0"/>
          <w:szCs w:val="21"/>
        </w:rPr>
        <w:t>情形下，</w:t>
      </w:r>
      <w:r>
        <w:rPr>
          <w:rFonts w:hint="eastAsia" w:ascii="仿宋" w:hAnsi="仿宋" w:eastAsia="仿宋" w:cs="仿宋"/>
          <w:kern w:val="0"/>
          <w:szCs w:val="21"/>
        </w:rPr>
        <w:t>超额业绩报酬=[当期超额报酬计提前净值-当期申购金额×（1+a×D÷365）]×50%</w:t>
      </w:r>
    </w:p>
    <w:p>
      <w:pPr>
        <w:spacing w:line="240" w:lineRule="auto"/>
        <w:jc w:val="left"/>
        <w:rPr>
          <w:rFonts w:hint="eastAsia" w:ascii="仿宋" w:hAnsi="仿宋" w:eastAsia="仿宋" w:cs="仿宋"/>
          <w:kern w:val="0"/>
          <w:szCs w:val="21"/>
        </w:rPr>
      </w:pPr>
      <w:r>
        <w:rPr>
          <w:rFonts w:hint="eastAsia" w:ascii="仿宋" w:hAnsi="仿宋" w:eastAsia="仿宋" w:cs="仿宋"/>
          <w:kern w:val="0"/>
          <w:szCs w:val="21"/>
        </w:rPr>
        <w:t>R</w:t>
      </w:r>
      <w:r>
        <w:rPr>
          <w:rFonts w:hint="eastAsia" w:ascii="仿宋" w:hAnsi="仿宋" w:eastAsia="仿宋" w:cs="仿宋"/>
          <w:kern w:val="0"/>
          <w:szCs w:val="21"/>
          <w:vertAlign w:val="subscript"/>
        </w:rPr>
        <w:t>2</w:t>
      </w:r>
      <w:r>
        <w:rPr>
          <w:rFonts w:hint="eastAsia" w:ascii="仿宋" w:hAnsi="仿宋" w:eastAsia="仿宋" w:cs="仿宋"/>
          <w:color w:val="000000"/>
          <w:kern w:val="0"/>
          <w:szCs w:val="21"/>
        </w:rPr>
        <w:t>情形下，</w:t>
      </w:r>
      <w:r>
        <w:rPr>
          <w:rFonts w:hint="eastAsia" w:ascii="仿宋" w:hAnsi="仿宋" w:eastAsia="仿宋" w:cs="仿宋"/>
          <w:kern w:val="0"/>
          <w:szCs w:val="21"/>
        </w:rPr>
        <w:t>超额业绩报酬=[当期超额报酬计提前净值-当期申购金额×（1+b×D÷365)]×80%+[当期申购金额×（1+b×D÷365)-当期申购金额×（1+a×D÷365）]×50%</w:t>
      </w:r>
    </w:p>
    <w:p>
      <w:pPr>
        <w:rPr>
          <w:rFonts w:hint="eastAsia" w:ascii="仿宋" w:hAnsi="仿宋" w:eastAsia="仿宋" w:cs="仿宋"/>
          <w:kern w:val="0"/>
          <w:szCs w:val="21"/>
        </w:rPr>
      </w:pPr>
      <w:r>
        <w:rPr>
          <w:rFonts w:hint="eastAsia" w:ascii="仿宋" w:hAnsi="仿宋" w:eastAsia="仿宋" w:cs="仿宋"/>
          <w:kern w:val="0"/>
          <w:szCs w:val="21"/>
        </w:rPr>
        <w:t>江阴农商银行有权根据市场情况、产品运作情况对本产品的各项费用费率、年化业绩比较基准以及超额业绩报酬计提比例进行调整，并至少于调整日之前2个工作日进行公告。计算过程小数位取舍以管理人系统计算规则为准。</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firstLine="422" w:firstLineChars="200"/>
        <w:jc w:val="left"/>
        <w:textAlignment w:val="auto"/>
        <w:rPr>
          <w:rFonts w:hint="eastAsia" w:asciiTheme="minorEastAsia" w:hAnsiTheme="minorEastAsia" w:eastAsiaTheme="minorEastAsia" w:cstheme="minorEastAsia"/>
          <w:b/>
          <w:bCs/>
          <w:kern w:val="0"/>
          <w:szCs w:val="21"/>
          <w:highlight w:val="none"/>
          <w:lang w:val="en-US" w:eastAsia="zh-CN"/>
        </w:rPr>
      </w:pPr>
      <w:r>
        <w:rPr>
          <w:rFonts w:hint="eastAsia" w:asciiTheme="minorEastAsia" w:hAnsiTheme="minorEastAsia" w:eastAsiaTheme="minorEastAsia" w:cstheme="minorEastAsia"/>
          <w:b/>
          <w:bCs/>
          <w:kern w:val="0"/>
          <w:szCs w:val="21"/>
          <w:highlight w:val="none"/>
          <w:lang w:val="en-US" w:eastAsia="zh-CN"/>
        </w:rPr>
        <w:t>变更</w:t>
      </w:r>
      <w:r>
        <w:rPr>
          <w:rFonts w:hint="eastAsia" w:asciiTheme="minorEastAsia" w:hAnsiTheme="minorEastAsia" w:cstheme="minorEastAsia"/>
          <w:b/>
          <w:bCs/>
          <w:kern w:val="0"/>
          <w:szCs w:val="21"/>
          <w:highlight w:val="none"/>
          <w:lang w:val="en-US" w:eastAsia="zh-CN"/>
        </w:rPr>
        <w:t>后</w:t>
      </w:r>
      <w:r>
        <w:rPr>
          <w:rFonts w:hint="eastAsia" w:asciiTheme="minorEastAsia" w:hAnsiTheme="minorEastAsia" w:eastAsiaTheme="minorEastAsia" w:cstheme="minorEastAsia"/>
          <w:b/>
          <w:bCs/>
          <w:kern w:val="0"/>
          <w:szCs w:val="21"/>
          <w:highlight w:val="none"/>
          <w:lang w:val="en-US" w:eastAsia="zh-CN"/>
        </w:rPr>
        <w:t>：</w:t>
      </w:r>
    </w:p>
    <w:tbl>
      <w:tblPr>
        <w:tblStyle w:val="5"/>
        <w:tblpPr w:leftFromText="180" w:rightFromText="180" w:vertAnchor="text" w:horzAnchor="page" w:tblpX="1847" w:tblpY="302"/>
        <w:tblOverlap w:val="never"/>
        <w:tblW w:w="8762"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414"/>
        <w:gridCol w:w="734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240" w:hRule="atLeast"/>
          <w:tblCellSpacing w:w="0" w:type="dxa"/>
        </w:trPr>
        <w:tc>
          <w:tcPr>
            <w:tcW w:w="1414" w:type="dxa"/>
            <w:tcBorders>
              <w:top w:val="outset" w:color="auto" w:sz="6" w:space="0"/>
              <w:left w:val="outset" w:color="auto" w:sz="6" w:space="0"/>
              <w:bottom w:val="outset" w:color="auto" w:sz="6" w:space="0"/>
              <w:right w:val="outset" w:color="auto" w:sz="6" w:space="0"/>
            </w:tcBorders>
            <w:vAlign w:val="center"/>
          </w:tcPr>
          <w:p>
            <w:pPr>
              <w:widowControl/>
              <w:jc w:val="center"/>
              <w:rPr>
                <w:rFonts w:hint="eastAsia" w:ascii="宋体" w:hAnsi="宋体" w:cs="宋体"/>
                <w:kern w:val="0"/>
                <w:sz w:val="15"/>
                <w:szCs w:val="15"/>
                <w:highlight w:val="none"/>
              </w:rPr>
            </w:pPr>
            <w:r>
              <w:rPr>
                <w:rFonts w:hint="eastAsia" w:ascii="宋体" w:hAnsi="宋体" w:cs="宋体"/>
                <w:kern w:val="0"/>
                <w:sz w:val="15"/>
                <w:szCs w:val="15"/>
                <w:highlight w:val="none"/>
                <w:lang w:eastAsia="zh-CN"/>
              </w:rPr>
              <w:t>浮动管理费</w:t>
            </w:r>
            <w:r>
              <w:rPr>
                <w:rFonts w:hint="eastAsia" w:ascii="宋体" w:hAnsi="宋体" w:cs="宋体"/>
                <w:kern w:val="0"/>
                <w:sz w:val="15"/>
                <w:szCs w:val="15"/>
                <w:highlight w:val="none"/>
                <w:lang w:val="en-US" w:eastAsia="zh-CN"/>
              </w:rPr>
              <w:t>计提基准</w:t>
            </w:r>
          </w:p>
        </w:tc>
        <w:tc>
          <w:tcPr>
            <w:tcW w:w="7348" w:type="dxa"/>
            <w:tcBorders>
              <w:top w:val="outset" w:color="auto" w:sz="6" w:space="0"/>
              <w:left w:val="outset" w:color="auto" w:sz="6" w:space="0"/>
              <w:bottom w:val="outset" w:color="auto" w:sz="6" w:space="0"/>
              <w:right w:val="outset" w:color="auto" w:sz="6" w:space="0"/>
            </w:tcBorders>
            <w:vAlign w:val="center"/>
          </w:tcPr>
          <w:p>
            <w:pPr>
              <w:jc w:val="left"/>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浮动管理计提基准为c和d: c=(a+b)/2; d=b。</w:t>
            </w:r>
          </w:p>
          <w:p>
            <w:pPr>
              <w:jc w:val="left"/>
              <w:rPr>
                <w:rFonts w:hint="eastAsia" w:ascii="宋体" w:hAnsi="宋体" w:cs="宋体"/>
                <w:kern w:val="0"/>
                <w:sz w:val="15"/>
                <w:szCs w:val="15"/>
                <w:highlight w:val="none"/>
              </w:rPr>
            </w:pPr>
            <w:r>
              <w:rPr>
                <w:rFonts w:hint="eastAsia" w:ascii="宋体" w:hAnsi="宋体" w:cs="宋体"/>
                <w:kern w:val="0"/>
                <w:sz w:val="15"/>
                <w:szCs w:val="15"/>
                <w:highlight w:val="none"/>
                <w:lang w:val="en-US" w:eastAsia="zh-CN"/>
              </w:rPr>
              <w:t>其中：</w:t>
            </w:r>
            <w:r>
              <w:rPr>
                <w:rFonts w:hint="eastAsia" w:ascii="宋体" w:hAnsi="宋体" w:cs="宋体"/>
                <w:kern w:val="0"/>
                <w:sz w:val="15"/>
                <w:szCs w:val="15"/>
                <w:highlight w:val="none"/>
              </w:rPr>
              <w:t>a表示当期份额确认日的年化业绩比较基准下限</w:t>
            </w:r>
            <w:r>
              <w:rPr>
                <w:rFonts w:hint="eastAsia" w:ascii="宋体" w:hAnsi="宋体" w:cs="宋体"/>
                <w:kern w:val="0"/>
                <w:sz w:val="15"/>
                <w:szCs w:val="15"/>
                <w:highlight w:val="none"/>
                <w:lang w:eastAsia="zh-CN"/>
              </w:rPr>
              <w:t>；</w:t>
            </w:r>
            <w:r>
              <w:rPr>
                <w:rFonts w:hint="eastAsia" w:ascii="宋体" w:hAnsi="宋体" w:cs="宋体"/>
                <w:kern w:val="0"/>
                <w:sz w:val="15"/>
                <w:szCs w:val="15"/>
                <w:highlight w:val="none"/>
              </w:rPr>
              <w:t>b表示当期份额确认日的年化业绩比较基准上限;（</w:t>
            </w:r>
            <w:r>
              <w:rPr>
                <w:rFonts w:hint="eastAsia" w:ascii="宋体" w:hAnsi="宋体" w:cs="宋体"/>
                <w:kern w:val="0"/>
                <w:sz w:val="15"/>
                <w:szCs w:val="15"/>
                <w:highlight w:val="none"/>
                <w:lang w:val="en-US" w:eastAsia="zh-CN"/>
              </w:rPr>
              <w:t>a和b都</w:t>
            </w:r>
            <w:r>
              <w:rPr>
                <w:rFonts w:hint="eastAsia" w:ascii="宋体" w:hAnsi="宋体" w:cs="宋体"/>
                <w:kern w:val="0"/>
                <w:sz w:val="15"/>
                <w:szCs w:val="15"/>
                <w:highlight w:val="none"/>
              </w:rPr>
              <w:t>以最新公布的为准）</w:t>
            </w:r>
            <w:r>
              <w:rPr>
                <w:rFonts w:hint="eastAsia" w:ascii="宋体" w:hAnsi="宋体" w:cs="宋体"/>
                <w:kern w:val="0"/>
                <w:sz w:val="15"/>
                <w:szCs w:val="15"/>
                <w:highlight w:val="none"/>
                <w:lang w:val="en-US" w:eastAsia="zh-CN"/>
              </w:rPr>
              <w:t>。</w:t>
            </w:r>
          </w:p>
        </w:tc>
      </w:tr>
    </w:tbl>
    <w:p>
      <w:pPr>
        <w:autoSpaceDE w:val="0"/>
        <w:autoSpaceDN w:val="0"/>
        <w:adjustRightInd w:val="0"/>
        <w:rPr>
          <w:rFonts w:hint="eastAsia" w:ascii="仿宋" w:hAnsi="仿宋" w:eastAsia="仿宋" w:cs="宋体w泡.."/>
          <w:kern w:val="0"/>
          <w:szCs w:val="21"/>
          <w:highlight w:val="none"/>
          <w:lang w:eastAsia="zh-CN"/>
        </w:rPr>
      </w:pPr>
    </w:p>
    <w:p>
      <w:pPr>
        <w:autoSpaceDE w:val="0"/>
        <w:autoSpaceDN w:val="0"/>
        <w:adjustRightInd w:val="0"/>
        <w:rPr>
          <w:rFonts w:hint="eastAsia" w:ascii="仿宋" w:hAnsi="仿宋" w:eastAsia="仿宋" w:cs="仿宋"/>
          <w:kern w:val="0"/>
          <w:szCs w:val="21"/>
          <w:highlight w:val="none"/>
        </w:rPr>
      </w:pPr>
      <w:r>
        <w:rPr>
          <w:rFonts w:hint="eastAsia" w:ascii="仿宋" w:hAnsi="仿宋" w:eastAsia="仿宋" w:cs="宋体w泡.."/>
          <w:kern w:val="0"/>
          <w:szCs w:val="21"/>
          <w:highlight w:val="none"/>
          <w:lang w:eastAsia="zh-CN"/>
        </w:rPr>
        <w:t>浮动管理费</w:t>
      </w:r>
      <w:r>
        <w:rPr>
          <w:rFonts w:hint="eastAsia" w:ascii="仿宋" w:hAnsi="仿宋" w:eastAsia="仿宋" w:cs="宋体w泡.."/>
          <w:kern w:val="0"/>
          <w:szCs w:val="21"/>
          <w:highlight w:val="none"/>
        </w:rPr>
        <w:t>：</w:t>
      </w:r>
      <w:r>
        <w:rPr>
          <w:rFonts w:hint="eastAsia" w:ascii="仿宋" w:hAnsi="仿宋" w:eastAsia="仿宋" w:cs="仿宋"/>
          <w:kern w:val="0"/>
          <w:szCs w:val="21"/>
          <w:highlight w:val="none"/>
        </w:rPr>
        <w:t>若每个封闭周期终止日，扣除销售手续费、产品托管费、运营管理费、固定管理费及相关税费后，理财资金收益折合年化收益率R超过</w:t>
      </w:r>
      <w:r>
        <w:rPr>
          <w:rFonts w:hint="eastAsia" w:ascii="仿宋" w:hAnsi="仿宋" w:eastAsia="仿宋" w:cs="仿宋"/>
          <w:kern w:val="0"/>
          <w:szCs w:val="21"/>
          <w:highlight w:val="none"/>
          <w:lang w:val="en-US" w:eastAsia="zh-CN"/>
        </w:rPr>
        <w:t>计提基准c</w:t>
      </w:r>
      <w:r>
        <w:rPr>
          <w:rFonts w:hint="eastAsia" w:ascii="仿宋" w:hAnsi="仿宋" w:eastAsia="仿宋" w:cs="仿宋"/>
          <w:kern w:val="0"/>
          <w:szCs w:val="21"/>
          <w:highlight w:val="none"/>
        </w:rPr>
        <w:t>，则江阴农商银行有权按以下超额累计方式计提比例收取当封闭周期的</w:t>
      </w:r>
      <w:r>
        <w:rPr>
          <w:rFonts w:hint="eastAsia" w:ascii="仿宋" w:hAnsi="仿宋" w:eastAsia="仿宋" w:cs="仿宋"/>
          <w:kern w:val="0"/>
          <w:szCs w:val="21"/>
          <w:highlight w:val="none"/>
          <w:lang w:eastAsia="zh-CN"/>
        </w:rPr>
        <w:t>浮动管理费</w:t>
      </w:r>
      <w:r>
        <w:rPr>
          <w:rFonts w:hint="eastAsia" w:ascii="仿宋" w:hAnsi="仿宋" w:eastAsia="仿宋" w:cs="仿宋"/>
          <w:kern w:val="0"/>
          <w:szCs w:val="21"/>
          <w:highlight w:val="none"/>
        </w:rPr>
        <w:t>。</w:t>
      </w:r>
    </w:p>
    <w:p>
      <w:pPr>
        <w:spacing w:line="240" w:lineRule="auto"/>
        <w:rPr>
          <w:rFonts w:hint="eastAsia" w:ascii="仿宋" w:hAnsi="仿宋" w:eastAsia="仿宋" w:cs="仿宋"/>
          <w:kern w:val="0"/>
          <w:szCs w:val="21"/>
          <w:highlight w:val="none"/>
        </w:rPr>
      </w:pPr>
      <w:r>
        <w:rPr>
          <w:rFonts w:hint="eastAsia" w:ascii="仿宋" w:hAnsi="仿宋" w:eastAsia="仿宋" w:cs="仿宋"/>
          <w:kern w:val="0"/>
          <w:szCs w:val="21"/>
          <w:highlight w:val="none"/>
          <w:lang w:eastAsia="zh-CN"/>
        </w:rPr>
        <w:t>浮动管理费</w:t>
      </w:r>
      <w:r>
        <w:rPr>
          <w:rFonts w:hint="eastAsia" w:ascii="仿宋" w:hAnsi="仿宋" w:eastAsia="仿宋" w:cs="仿宋"/>
          <w:kern w:val="0"/>
          <w:szCs w:val="21"/>
          <w:highlight w:val="none"/>
        </w:rPr>
        <w:t>计提前的封闭周期年化收益率：</w:t>
      </w:r>
    </w:p>
    <w:p>
      <w:pPr>
        <w:spacing w:line="240" w:lineRule="auto"/>
        <w:jc w:val="center"/>
        <w:rPr>
          <w:rFonts w:hint="eastAsia" w:ascii="仿宋" w:hAnsi="仿宋" w:eastAsia="仿宋" w:cs="仿宋"/>
          <w:szCs w:val="21"/>
          <w:highlight w:val="none"/>
        </w:rPr>
      </w:pPr>
      <m:oMath>
        <m:r>
          <m:rPr>
            <m:sty m:val="p"/>
          </m:rPr>
          <w:rPr>
            <w:rFonts w:hint="eastAsia" w:ascii="Cambria Math" w:hAnsi="Cambria Math" w:eastAsia="仿宋" w:cs="仿宋"/>
            <w:szCs w:val="21"/>
            <w:highlight w:val="none"/>
          </w:rPr>
          <m:t>R=</m:t>
        </m:r>
        <m:f>
          <m:fPr>
            <m:ctrlPr>
              <w:rPr>
                <w:rFonts w:hint="eastAsia" w:ascii="Cambria Math" w:hAnsi="Cambria Math" w:eastAsia="仿宋" w:cs="仿宋"/>
                <w:szCs w:val="21"/>
                <w:highlight w:val="none"/>
              </w:rPr>
            </m:ctrlPr>
          </m:fPr>
          <m:num>
            <m:d>
              <m:dPr>
                <m:ctrlPr>
                  <w:rPr>
                    <w:rFonts w:hint="eastAsia" w:ascii="Cambria Math" w:hAnsi="Cambria Math" w:eastAsia="仿宋" w:cs="仿宋"/>
                    <w:i/>
                    <w:szCs w:val="21"/>
                    <w:highlight w:val="none"/>
                  </w:rPr>
                </m:ctrlPr>
              </m:dPr>
              <m:e>
                <m:f>
                  <m:fPr>
                    <m:ctrlPr>
                      <w:rPr>
                        <w:rFonts w:hint="eastAsia" w:ascii="Cambria Math" w:hAnsi="Cambria Math" w:eastAsia="仿宋" w:cs="仿宋"/>
                        <w:i/>
                        <w:szCs w:val="21"/>
                        <w:highlight w:val="none"/>
                      </w:rPr>
                    </m:ctrlPr>
                  </m:fPr>
                  <m:num>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期末净值</m:t>
                        </m:r>
                        <m:ctrlPr>
                          <w:rPr>
                            <w:rFonts w:hint="eastAsia" w:ascii="Cambria Math" w:hAnsi="Cambria Math" w:eastAsia="仿宋" w:cs="仿宋"/>
                            <w:i/>
                            <w:szCs w:val="21"/>
                            <w:highlight w:val="none"/>
                          </w:rPr>
                        </m:ctrlPr>
                      </m:sub>
                    </m:sSub>
                    <m:r>
                      <w:rPr>
                        <w:rFonts w:hint="eastAsia" w:ascii="Cambria Math" w:hAnsi="Cambria Math" w:eastAsia="仿宋" w:cs="仿宋"/>
                        <w:szCs w:val="21"/>
                        <w:highlight w:val="none"/>
                      </w:rPr>
                      <m:t>−</m:t>
                    </m:r>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期初净值</m:t>
                        </m:r>
                        <m:ctrlPr>
                          <w:rPr>
                            <w:rFonts w:hint="eastAsia" w:ascii="Cambria Math" w:hAnsi="Cambria Math" w:eastAsia="仿宋" w:cs="仿宋"/>
                            <w:i/>
                            <w:szCs w:val="21"/>
                            <w:highlight w:val="none"/>
                          </w:rPr>
                        </m:ctrlPr>
                      </m:sub>
                    </m:sSub>
                    <m:ctrlPr>
                      <w:rPr>
                        <w:rFonts w:hint="eastAsia" w:ascii="Cambria Math" w:hAnsi="Cambria Math" w:eastAsia="仿宋" w:cs="仿宋"/>
                        <w:i/>
                        <w:szCs w:val="21"/>
                        <w:highlight w:val="none"/>
                      </w:rPr>
                    </m:ctrlPr>
                  </m:num>
                  <m:den>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期初净值</m:t>
                        </m:r>
                        <m:ctrlPr>
                          <w:rPr>
                            <w:rFonts w:hint="eastAsia" w:ascii="Cambria Math" w:hAnsi="Cambria Math" w:eastAsia="仿宋" w:cs="仿宋"/>
                            <w:i/>
                            <w:szCs w:val="21"/>
                            <w:highlight w:val="none"/>
                          </w:rPr>
                        </m:ctrlPr>
                      </m:sub>
                    </m:sSub>
                    <m:ctrlPr>
                      <w:rPr>
                        <w:rFonts w:hint="eastAsia" w:ascii="Cambria Math" w:hAnsi="Cambria Math" w:eastAsia="仿宋" w:cs="仿宋"/>
                        <w:i/>
                        <w:szCs w:val="21"/>
                        <w:highlight w:val="none"/>
                      </w:rPr>
                    </m:ctrlPr>
                  </m:den>
                </m:f>
                <m:ctrlPr>
                  <w:rPr>
                    <w:rFonts w:hint="eastAsia" w:ascii="Cambria Math" w:hAnsi="Cambria Math" w:eastAsia="仿宋" w:cs="仿宋"/>
                    <w:i/>
                    <w:szCs w:val="21"/>
                    <w:highlight w:val="none"/>
                  </w:rPr>
                </m:ctrlPr>
              </m:e>
            </m:d>
            <m:ctrlPr>
              <w:rPr>
                <w:rFonts w:hint="eastAsia" w:ascii="Cambria Math" w:hAnsi="Cambria Math" w:eastAsia="仿宋" w:cs="仿宋"/>
                <w:szCs w:val="21"/>
                <w:highlight w:val="none"/>
              </w:rPr>
            </m:ctrlPr>
          </m:num>
          <m:den>
            <m:r>
              <w:rPr>
                <w:rFonts w:hint="eastAsia" w:ascii="Cambria Math" w:hAnsi="Cambria Math" w:eastAsia="仿宋" w:cs="仿宋"/>
                <w:szCs w:val="21"/>
                <w:highlight w:val="none"/>
              </w:rPr>
              <m:t>D</m:t>
            </m:r>
            <m:ctrlPr>
              <w:rPr>
                <w:rFonts w:hint="eastAsia" w:ascii="Cambria Math" w:hAnsi="Cambria Math" w:eastAsia="仿宋" w:cs="仿宋"/>
                <w:szCs w:val="21"/>
                <w:highlight w:val="none"/>
              </w:rPr>
            </m:ctrlPr>
          </m:den>
        </m:f>
      </m:oMath>
      <w:r>
        <w:rPr>
          <w:rFonts w:hint="eastAsia" w:ascii="仿宋" w:hAnsi="仿宋" w:eastAsia="仿宋" w:cs="仿宋"/>
          <w:szCs w:val="21"/>
          <w:highlight w:val="none"/>
        </w:rPr>
        <w:t>×365</w:t>
      </w:r>
    </w:p>
    <w:p>
      <w:pPr>
        <w:spacing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其中，</w:t>
      </w:r>
      <m:oMath>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期末净值</m:t>
            </m:r>
            <m:ctrlPr>
              <w:rPr>
                <w:rFonts w:hint="eastAsia" w:ascii="Cambria Math" w:hAnsi="Cambria Math" w:eastAsia="仿宋" w:cs="仿宋"/>
                <w:i/>
                <w:szCs w:val="21"/>
                <w:highlight w:val="none"/>
              </w:rPr>
            </m:ctrlPr>
          </m:sub>
        </m:sSub>
      </m:oMath>
      <w:r>
        <w:rPr>
          <w:rFonts w:hint="eastAsia" w:ascii="仿宋" w:hAnsi="仿宋" w:eastAsia="仿宋" w:cs="仿宋"/>
          <w:kern w:val="0"/>
          <w:szCs w:val="21"/>
          <w:highlight w:val="none"/>
        </w:rPr>
        <w:t>表示当期投资周期期末</w:t>
      </w:r>
      <w:r>
        <w:rPr>
          <w:rFonts w:hint="eastAsia" w:ascii="仿宋" w:hAnsi="仿宋" w:eastAsia="仿宋" w:cs="仿宋"/>
          <w:kern w:val="0"/>
          <w:szCs w:val="21"/>
          <w:highlight w:val="none"/>
          <w:lang w:eastAsia="zh-CN"/>
        </w:rPr>
        <w:t>浮动管理费</w:t>
      </w:r>
      <w:r>
        <w:rPr>
          <w:rFonts w:hint="eastAsia" w:ascii="仿宋" w:hAnsi="仿宋" w:eastAsia="仿宋" w:cs="仿宋"/>
          <w:kern w:val="0"/>
          <w:szCs w:val="21"/>
          <w:highlight w:val="none"/>
        </w:rPr>
        <w:t>计提前的单位净值，即投资周期终止日前一个工作日的</w:t>
      </w:r>
      <w:r>
        <w:rPr>
          <w:rFonts w:hint="eastAsia" w:ascii="仿宋" w:hAnsi="仿宋" w:eastAsia="仿宋" w:cs="仿宋"/>
          <w:kern w:val="0"/>
          <w:szCs w:val="21"/>
          <w:highlight w:val="none"/>
          <w:lang w:eastAsia="zh-CN"/>
        </w:rPr>
        <w:t>浮动管理费</w:t>
      </w:r>
      <w:r>
        <w:rPr>
          <w:rFonts w:hint="eastAsia" w:ascii="仿宋" w:hAnsi="仿宋" w:eastAsia="仿宋" w:cs="仿宋"/>
          <w:kern w:val="0"/>
          <w:szCs w:val="21"/>
          <w:highlight w:val="none"/>
        </w:rPr>
        <w:t xml:space="preserve">计提前的理财产品净值， </w:t>
      </w:r>
      <m:oMath>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期初净值</m:t>
            </m:r>
            <m:ctrlPr>
              <w:rPr>
                <w:rFonts w:hint="eastAsia" w:ascii="Cambria Math" w:hAnsi="Cambria Math" w:eastAsia="仿宋" w:cs="仿宋"/>
                <w:i/>
                <w:szCs w:val="21"/>
                <w:highlight w:val="none"/>
              </w:rPr>
            </m:ctrlPr>
          </m:sub>
        </m:sSub>
      </m:oMath>
      <w:r>
        <w:rPr>
          <w:rFonts w:hint="eastAsia" w:ascii="仿宋" w:hAnsi="仿宋" w:eastAsia="仿宋" w:cs="仿宋"/>
          <w:kern w:val="0"/>
          <w:szCs w:val="21"/>
          <w:highlight w:val="none"/>
        </w:rPr>
        <w:t>表示当期投资周期的申购单位净值，即申购确认日前一个工作日的理财产品净值；D表示当期投资周期，即产品固定持有天数；</w:t>
      </w:r>
      <w:r>
        <w:rPr>
          <w:rFonts w:hint="eastAsia" w:ascii="仿宋" w:hAnsi="仿宋" w:eastAsia="仿宋" w:cs="仿宋"/>
          <w:kern w:val="0"/>
          <w:szCs w:val="21"/>
          <w:highlight w:val="none"/>
          <w:lang w:val="en-US" w:eastAsia="zh-CN"/>
        </w:rPr>
        <w:t>R</w:t>
      </w:r>
      <w:r>
        <w:rPr>
          <w:rFonts w:hint="eastAsia" w:ascii="仿宋" w:hAnsi="仿宋" w:eastAsia="仿宋" w:cs="仿宋"/>
          <w:kern w:val="0"/>
          <w:szCs w:val="21"/>
          <w:highlight w:val="none"/>
        </w:rPr>
        <w:t>表示当期份额确认日的年化业绩比较基准。</w:t>
      </w:r>
    </w:p>
    <w:p>
      <w:pPr>
        <w:spacing w:line="240" w:lineRule="auto"/>
        <w:jc w:val="left"/>
        <w:rPr>
          <w:rFonts w:hint="eastAsia" w:ascii="仿宋" w:hAnsi="仿宋" w:eastAsia="仿宋" w:cs="仿宋"/>
          <w:b/>
          <w:kern w:val="0"/>
          <w:szCs w:val="21"/>
          <w:highlight w:val="none"/>
        </w:rPr>
      </w:pPr>
      <w:r>
        <w:rPr>
          <w:rFonts w:hint="eastAsia" w:ascii="仿宋" w:hAnsi="仿宋" w:eastAsia="仿宋" w:cs="仿宋"/>
          <w:b/>
          <w:kern w:val="0"/>
          <w:szCs w:val="21"/>
          <w:highlight w:val="none"/>
          <w:lang w:eastAsia="zh-CN"/>
        </w:rPr>
        <w:t>浮动管理费</w:t>
      </w:r>
      <w:r>
        <w:rPr>
          <w:rFonts w:hint="eastAsia" w:ascii="仿宋" w:hAnsi="仿宋" w:eastAsia="仿宋" w:cs="仿宋"/>
          <w:b/>
          <w:kern w:val="0"/>
          <w:szCs w:val="21"/>
          <w:highlight w:val="none"/>
        </w:rPr>
        <w:t>计提比例公式如下：</w:t>
      </w:r>
    </w:p>
    <w:tbl>
      <w:tblPr>
        <w:tblStyle w:val="5"/>
        <w:tblW w:w="59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4"/>
        <w:gridCol w:w="20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jc w:val="left"/>
              <w:rPr>
                <w:rFonts w:hint="eastAsia" w:ascii="宋体" w:hAnsi="宋体" w:cs="宋体"/>
                <w:kern w:val="0"/>
                <w:sz w:val="15"/>
                <w:szCs w:val="15"/>
                <w:highlight w:val="none"/>
              </w:rPr>
            </w:pPr>
            <w:r>
              <w:rPr>
                <w:rFonts w:hint="eastAsia" w:ascii="宋体" w:hAnsi="宋体" w:cs="宋体"/>
                <w:kern w:val="0"/>
                <w:sz w:val="15"/>
                <w:szCs w:val="15"/>
                <w:highlight w:val="none"/>
                <w:lang w:eastAsia="zh-CN"/>
              </w:rPr>
              <w:t>浮动管理费</w:t>
            </w:r>
            <w:r>
              <w:rPr>
                <w:rFonts w:hint="eastAsia" w:ascii="宋体" w:hAnsi="宋体" w:cs="宋体"/>
                <w:kern w:val="0"/>
                <w:sz w:val="15"/>
                <w:szCs w:val="15"/>
                <w:highlight w:val="none"/>
              </w:rPr>
              <w:t>计提前的当日年化收益率</w:t>
            </w:r>
          </w:p>
        </w:tc>
        <w:tc>
          <w:tcPr>
            <w:tcW w:w="2044" w:type="dxa"/>
          </w:tcPr>
          <w:p>
            <w:pPr>
              <w:jc w:val="left"/>
              <w:rPr>
                <w:rFonts w:hint="eastAsia" w:ascii="宋体" w:hAnsi="宋体" w:cs="宋体"/>
                <w:kern w:val="0"/>
                <w:sz w:val="15"/>
                <w:szCs w:val="15"/>
                <w:highlight w:val="none"/>
              </w:rPr>
            </w:pPr>
            <w:r>
              <w:rPr>
                <w:rFonts w:hint="eastAsia" w:ascii="宋体" w:hAnsi="宋体" w:cs="宋体"/>
                <w:kern w:val="0"/>
                <w:sz w:val="15"/>
                <w:szCs w:val="15"/>
                <w:highlight w:val="none"/>
                <w:lang w:eastAsia="zh-CN"/>
              </w:rPr>
              <w:t>浮动管理费</w:t>
            </w:r>
            <w:r>
              <w:rPr>
                <w:rFonts w:hint="eastAsia" w:ascii="宋体" w:hAnsi="宋体" w:cs="宋体"/>
                <w:kern w:val="0"/>
                <w:sz w:val="15"/>
                <w:szCs w:val="15"/>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vAlign w:val="top"/>
          </w:tcPr>
          <w:p>
            <w:pPr>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R≤</w:t>
            </w:r>
            <w:r>
              <w:rPr>
                <w:rFonts w:hint="eastAsia" w:ascii="仿宋" w:hAnsi="仿宋" w:eastAsia="仿宋" w:cs="仿宋"/>
                <w:kern w:val="0"/>
                <w:szCs w:val="21"/>
                <w:highlight w:val="none"/>
                <w:lang w:val="en-US" w:eastAsia="zh-CN"/>
              </w:rPr>
              <w:t>c</w:t>
            </w:r>
          </w:p>
        </w:tc>
        <w:tc>
          <w:tcPr>
            <w:tcW w:w="2044" w:type="dxa"/>
            <w:vAlign w:val="top"/>
          </w:tcPr>
          <w:p>
            <w:pPr>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I=</w:t>
            </w:r>
            <w:r>
              <w:rPr>
                <w:rFonts w:hint="eastAsia" w:ascii="仿宋" w:hAnsi="仿宋" w:eastAsia="仿宋" w:cs="仿宋"/>
                <w:kern w:val="0"/>
                <w:szCs w:val="21"/>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vAlign w:val="top"/>
          </w:tcPr>
          <w:p>
            <w:pPr>
              <w:jc w:val="left"/>
              <w:rPr>
                <w:rFonts w:hint="eastAsia" w:ascii="仿宋" w:hAnsi="仿宋" w:eastAsia="仿宋" w:cs="仿宋"/>
                <w:kern w:val="0"/>
                <w:szCs w:val="21"/>
                <w:highlight w:val="none"/>
              </w:rPr>
            </w:pPr>
            <w:r>
              <w:rPr>
                <w:rFonts w:hint="eastAsia" w:ascii="仿宋" w:hAnsi="仿宋" w:eastAsia="仿宋" w:cs="仿宋"/>
                <w:kern w:val="0"/>
                <w:szCs w:val="21"/>
                <w:highlight w:val="none"/>
                <w:lang w:val="en-US" w:eastAsia="zh-CN"/>
              </w:rPr>
              <w:t>c</w:t>
            </w: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1</w:t>
            </w:r>
            <w:r>
              <w:rPr>
                <w:rFonts w:hint="eastAsia" w:ascii="仿宋" w:hAnsi="仿宋" w:eastAsia="仿宋" w:cs="仿宋"/>
                <w:kern w:val="0"/>
                <w:szCs w:val="21"/>
                <w:highlight w:val="none"/>
              </w:rPr>
              <w:t>≤</w:t>
            </w:r>
            <w:r>
              <w:rPr>
                <w:rFonts w:hint="eastAsia" w:ascii="仿宋" w:hAnsi="仿宋" w:eastAsia="仿宋" w:cs="仿宋"/>
                <w:kern w:val="0"/>
                <w:szCs w:val="21"/>
                <w:highlight w:val="none"/>
                <w:lang w:val="en-US" w:eastAsia="zh-CN"/>
              </w:rPr>
              <w:t>d</w:t>
            </w:r>
          </w:p>
        </w:tc>
        <w:tc>
          <w:tcPr>
            <w:tcW w:w="2044" w:type="dxa"/>
            <w:vAlign w:val="top"/>
          </w:tcPr>
          <w:p>
            <w:pPr>
              <w:jc w:val="left"/>
              <w:rPr>
                <w:rFonts w:hint="eastAsia" w:ascii="仿宋" w:hAnsi="仿宋" w:eastAsia="仿宋" w:cs="仿宋"/>
                <w:kern w:val="0"/>
                <w:szCs w:val="21"/>
                <w:highlight w:val="none"/>
              </w:rPr>
            </w:pPr>
            <w:r>
              <w:rPr>
                <w:rFonts w:hint="eastAsia" w:ascii="仿宋" w:hAnsi="仿宋" w:eastAsia="仿宋" w:cs="仿宋"/>
                <w:color w:val="000000"/>
                <w:kern w:val="0"/>
                <w:szCs w:val="21"/>
                <w:highlight w:val="none"/>
              </w:rPr>
              <w:t>I</w:t>
            </w:r>
            <w:r>
              <w:rPr>
                <w:rFonts w:hint="eastAsia" w:ascii="仿宋" w:hAnsi="仿宋" w:eastAsia="仿宋" w:cs="仿宋"/>
                <w:color w:val="000000"/>
                <w:kern w:val="0"/>
                <w:szCs w:val="21"/>
                <w:highlight w:val="none"/>
                <w:vertAlign w:val="subscript"/>
              </w:rPr>
              <w:t>1</w:t>
            </w: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1</w:t>
            </w:r>
            <w:r>
              <w:rPr>
                <w:rFonts w:hint="eastAsia" w:ascii="仿宋" w:hAnsi="仿宋" w:eastAsia="仿宋" w:cs="仿宋"/>
                <w:kern w:val="0"/>
                <w:szCs w:val="21"/>
                <w:highlight w:val="none"/>
              </w:rPr>
              <w:t>-</w:t>
            </w:r>
            <w:r>
              <w:rPr>
                <w:rFonts w:hint="eastAsia" w:ascii="仿宋" w:hAnsi="仿宋" w:eastAsia="仿宋" w:cs="仿宋"/>
                <w:kern w:val="0"/>
                <w:szCs w:val="21"/>
                <w:highlight w:val="none"/>
                <w:lang w:val="en-US" w:eastAsia="zh-CN"/>
              </w:rPr>
              <w:t>c</w:t>
            </w:r>
            <w:r>
              <w:rPr>
                <w:rFonts w:hint="eastAsia" w:ascii="仿宋" w:hAnsi="仿宋" w:eastAsia="仿宋" w:cs="仿宋"/>
                <w:kern w:val="0"/>
                <w:szCs w:val="21"/>
                <w:highlight w:val="none"/>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vAlign w:val="top"/>
          </w:tcPr>
          <w:p>
            <w:pPr>
              <w:jc w:val="left"/>
              <w:rPr>
                <w:rFonts w:hint="eastAsia" w:ascii="仿宋" w:hAnsi="仿宋" w:eastAsia="仿宋" w:cs="仿宋"/>
                <w:kern w:val="0"/>
                <w:szCs w:val="21"/>
                <w:highlight w:val="none"/>
              </w:rPr>
            </w:pPr>
            <w:r>
              <w:rPr>
                <w:rFonts w:hint="eastAsia" w:ascii="仿宋" w:hAnsi="仿宋" w:eastAsia="仿宋" w:cs="仿宋"/>
                <w:kern w:val="0"/>
                <w:szCs w:val="21"/>
                <w:highlight w:val="none"/>
                <w:lang w:val="en-US" w:eastAsia="zh-CN"/>
              </w:rPr>
              <w:t>d</w:t>
            </w: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2</w:t>
            </w:r>
          </w:p>
        </w:tc>
        <w:tc>
          <w:tcPr>
            <w:tcW w:w="2044" w:type="dxa"/>
            <w:vAlign w:val="top"/>
          </w:tcPr>
          <w:p>
            <w:pPr>
              <w:jc w:val="left"/>
              <w:rPr>
                <w:rFonts w:hint="eastAsia" w:ascii="仿宋" w:hAnsi="仿宋" w:eastAsia="仿宋" w:cs="仿宋"/>
                <w:kern w:val="0"/>
                <w:szCs w:val="21"/>
                <w:highlight w:val="none"/>
              </w:rPr>
            </w:pPr>
            <w:r>
              <w:rPr>
                <w:rFonts w:hint="eastAsia" w:ascii="仿宋" w:hAnsi="仿宋" w:eastAsia="仿宋" w:cs="仿宋"/>
                <w:color w:val="000000"/>
                <w:kern w:val="0"/>
                <w:szCs w:val="21"/>
                <w:highlight w:val="none"/>
              </w:rPr>
              <w:t>I</w:t>
            </w:r>
            <w:r>
              <w:rPr>
                <w:rFonts w:hint="eastAsia" w:ascii="仿宋" w:hAnsi="仿宋" w:eastAsia="仿宋" w:cs="仿宋"/>
                <w:color w:val="000000"/>
                <w:kern w:val="0"/>
                <w:szCs w:val="21"/>
                <w:highlight w:val="none"/>
                <w:vertAlign w:val="subscript"/>
              </w:rPr>
              <w:t>2</w:t>
            </w: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2</w:t>
            </w:r>
            <w:r>
              <w:rPr>
                <w:rFonts w:hint="eastAsia" w:ascii="仿宋" w:hAnsi="仿宋" w:eastAsia="仿宋" w:cs="仿宋"/>
                <w:kern w:val="0"/>
                <w:szCs w:val="21"/>
                <w:highlight w:val="none"/>
              </w:rPr>
              <w:t>-</w:t>
            </w:r>
            <w:r>
              <w:rPr>
                <w:rFonts w:hint="eastAsia" w:ascii="仿宋" w:hAnsi="仿宋" w:eastAsia="仿宋" w:cs="仿宋"/>
                <w:kern w:val="0"/>
                <w:szCs w:val="21"/>
                <w:highlight w:val="none"/>
                <w:lang w:val="en-US" w:eastAsia="zh-CN"/>
              </w:rPr>
              <w:t>d</w:t>
            </w:r>
            <w:r>
              <w:rPr>
                <w:rFonts w:hint="eastAsia" w:ascii="仿宋" w:hAnsi="仿宋" w:eastAsia="仿宋" w:cs="仿宋"/>
                <w:kern w:val="0"/>
                <w:szCs w:val="21"/>
                <w:highlight w:val="none"/>
              </w:rPr>
              <w:t>)×80%</w:t>
            </w:r>
          </w:p>
        </w:tc>
      </w:tr>
    </w:tbl>
    <w:p>
      <w:pPr>
        <w:spacing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其中，I表示计提的</w:t>
      </w:r>
      <w:r>
        <w:rPr>
          <w:rFonts w:hint="eastAsia" w:ascii="仿宋" w:hAnsi="仿宋" w:eastAsia="仿宋" w:cs="仿宋"/>
          <w:kern w:val="0"/>
          <w:szCs w:val="21"/>
          <w:highlight w:val="none"/>
          <w:lang w:eastAsia="zh-CN"/>
        </w:rPr>
        <w:t>浮动管理费</w:t>
      </w:r>
      <w:r>
        <w:rPr>
          <w:rFonts w:hint="eastAsia" w:ascii="仿宋" w:hAnsi="仿宋" w:eastAsia="仿宋" w:cs="仿宋"/>
          <w:kern w:val="0"/>
          <w:szCs w:val="21"/>
          <w:highlight w:val="none"/>
        </w:rPr>
        <w:t>比例，计提方式采用超额累进方式，例如当R=4.35%，</w:t>
      </w:r>
      <w:r>
        <w:rPr>
          <w:rFonts w:hint="eastAsia" w:ascii="仿宋" w:hAnsi="仿宋" w:eastAsia="仿宋" w:cs="仿宋"/>
          <w:kern w:val="0"/>
          <w:szCs w:val="21"/>
          <w:highlight w:val="none"/>
          <w:lang w:val="en-US" w:eastAsia="zh-CN"/>
        </w:rPr>
        <w:t>c</w:t>
      </w:r>
      <w:r>
        <w:rPr>
          <w:rFonts w:hint="eastAsia" w:ascii="仿宋" w:hAnsi="仿宋" w:eastAsia="仿宋" w:cs="仿宋"/>
          <w:kern w:val="0"/>
          <w:szCs w:val="21"/>
          <w:highlight w:val="none"/>
        </w:rPr>
        <w:t>=3.35%，</w:t>
      </w:r>
      <w:r>
        <w:rPr>
          <w:rFonts w:hint="eastAsia" w:ascii="仿宋" w:hAnsi="仿宋" w:eastAsia="仿宋" w:cs="仿宋"/>
          <w:kern w:val="0"/>
          <w:szCs w:val="21"/>
          <w:highlight w:val="none"/>
          <w:lang w:val="en-US" w:eastAsia="zh-CN"/>
        </w:rPr>
        <w:t>d</w:t>
      </w:r>
      <w:r>
        <w:rPr>
          <w:rFonts w:hint="eastAsia" w:ascii="仿宋" w:hAnsi="仿宋" w:eastAsia="仿宋" w:cs="仿宋"/>
          <w:kern w:val="0"/>
          <w:szCs w:val="21"/>
          <w:highlight w:val="none"/>
        </w:rPr>
        <w:t>=3.85%,则江阴农商银行收取的</w:t>
      </w:r>
      <w:r>
        <w:rPr>
          <w:rFonts w:hint="eastAsia" w:ascii="仿宋" w:hAnsi="仿宋" w:eastAsia="仿宋" w:cs="仿宋"/>
          <w:kern w:val="0"/>
          <w:szCs w:val="21"/>
          <w:highlight w:val="none"/>
          <w:lang w:eastAsia="zh-CN"/>
        </w:rPr>
        <w:t>浮动管理费</w:t>
      </w:r>
      <w:r>
        <w:rPr>
          <w:rFonts w:hint="eastAsia" w:ascii="仿宋" w:hAnsi="仿宋" w:eastAsia="仿宋" w:cs="仿宋"/>
          <w:kern w:val="0"/>
          <w:szCs w:val="21"/>
          <w:highlight w:val="none"/>
        </w:rPr>
        <w:t>比例为I=</w:t>
      </w:r>
      <w:r>
        <w:rPr>
          <w:rFonts w:hint="eastAsia" w:ascii="仿宋" w:hAnsi="仿宋" w:eastAsia="仿宋" w:cs="仿宋"/>
          <w:color w:val="000000"/>
          <w:kern w:val="0"/>
          <w:szCs w:val="21"/>
          <w:highlight w:val="none"/>
        </w:rPr>
        <w:t>I</w:t>
      </w:r>
      <w:r>
        <w:rPr>
          <w:rFonts w:hint="eastAsia" w:ascii="仿宋" w:hAnsi="仿宋" w:eastAsia="仿宋" w:cs="仿宋"/>
          <w:color w:val="000000"/>
          <w:kern w:val="0"/>
          <w:szCs w:val="21"/>
          <w:highlight w:val="none"/>
          <w:vertAlign w:val="subscript"/>
        </w:rPr>
        <w:t>1</w:t>
      </w:r>
      <w:r>
        <w:rPr>
          <w:rFonts w:hint="eastAsia" w:ascii="仿宋" w:hAnsi="仿宋" w:eastAsia="仿宋" w:cs="仿宋"/>
          <w:color w:val="000000"/>
          <w:kern w:val="0"/>
          <w:szCs w:val="21"/>
          <w:highlight w:val="none"/>
        </w:rPr>
        <w:t>+</w:t>
      </w:r>
      <w:r>
        <w:rPr>
          <w:rFonts w:hint="eastAsia" w:ascii="仿宋" w:hAnsi="仿宋" w:eastAsia="仿宋" w:cs="仿宋"/>
          <w:kern w:val="0"/>
          <w:szCs w:val="21"/>
          <w:highlight w:val="none"/>
        </w:rPr>
        <w:t>I</w:t>
      </w:r>
      <w:r>
        <w:rPr>
          <w:rFonts w:hint="eastAsia" w:ascii="仿宋" w:hAnsi="仿宋" w:eastAsia="仿宋" w:cs="仿宋"/>
          <w:kern w:val="0"/>
          <w:szCs w:val="21"/>
          <w:highlight w:val="none"/>
          <w:vertAlign w:val="subscript"/>
        </w:rPr>
        <w:t>2</w:t>
      </w:r>
      <w:r>
        <w:rPr>
          <w:rFonts w:hint="eastAsia" w:ascii="仿宋" w:hAnsi="仿宋" w:eastAsia="仿宋" w:cs="仿宋"/>
          <w:kern w:val="0"/>
          <w:szCs w:val="21"/>
          <w:highlight w:val="none"/>
        </w:rPr>
        <w:t>=0.65%。</w:t>
      </w:r>
      <w:r>
        <w:rPr>
          <w:rFonts w:hint="eastAsia" w:asciiTheme="minorEastAsia" w:hAnsiTheme="minorEastAsia" w:cstheme="minorEastAsia"/>
          <w:kern w:val="0"/>
          <w:szCs w:val="21"/>
          <w:highlight w:val="none"/>
          <w:lang w:eastAsia="zh-CN"/>
        </w:rPr>
        <w:t>（</w:t>
      </w:r>
      <w:r>
        <w:rPr>
          <w:rFonts w:hint="eastAsia" w:asciiTheme="minorEastAsia" w:hAnsiTheme="minorEastAsia" w:cstheme="minorEastAsia"/>
          <w:kern w:val="0"/>
          <w:szCs w:val="21"/>
          <w:highlight w:val="none"/>
          <w:lang w:val="en-US" w:eastAsia="zh-CN"/>
        </w:rPr>
        <w:t>案例以具体产品的说明书为准</w:t>
      </w:r>
      <w:r>
        <w:rPr>
          <w:rFonts w:hint="eastAsia" w:asciiTheme="minorEastAsia" w:hAnsiTheme="minorEastAsia" w:cstheme="minorEastAsia"/>
          <w:kern w:val="0"/>
          <w:szCs w:val="21"/>
          <w:highlight w:val="none"/>
          <w:lang w:eastAsia="zh-CN"/>
        </w:rPr>
        <w:t>）</w:t>
      </w:r>
    </w:p>
    <w:p>
      <w:pPr>
        <w:jc w:val="left"/>
        <w:rPr>
          <w:rFonts w:hint="eastAsia" w:ascii="仿宋" w:hAnsi="仿宋" w:eastAsia="仿宋" w:cs="仿宋"/>
          <w:kern w:val="0"/>
          <w:szCs w:val="21"/>
          <w:highlight w:val="none"/>
          <w:lang w:eastAsia="zh-CN"/>
        </w:rPr>
      </w:pPr>
      <w:r>
        <w:rPr>
          <w:rFonts w:hint="eastAsia" w:ascii="仿宋" w:hAnsi="仿宋" w:eastAsia="仿宋" w:cs="仿宋"/>
          <w:kern w:val="0"/>
          <w:szCs w:val="21"/>
          <w:highlight w:val="none"/>
        </w:rPr>
        <w:t>R</w:t>
      </w:r>
      <w:r>
        <w:rPr>
          <w:rFonts w:hint="eastAsia" w:ascii="仿宋" w:hAnsi="仿宋" w:eastAsia="仿宋" w:cs="仿宋"/>
          <w:color w:val="000000"/>
          <w:kern w:val="0"/>
          <w:szCs w:val="21"/>
          <w:highlight w:val="none"/>
        </w:rPr>
        <w:t>情形下，</w:t>
      </w:r>
      <w:r>
        <w:rPr>
          <w:rFonts w:hint="eastAsia" w:ascii="仿宋" w:hAnsi="仿宋" w:eastAsia="仿宋" w:cs="仿宋"/>
          <w:kern w:val="0"/>
          <w:szCs w:val="21"/>
          <w:highlight w:val="none"/>
        </w:rPr>
        <w:t>不再计提</w:t>
      </w:r>
      <w:r>
        <w:rPr>
          <w:rFonts w:hint="eastAsia" w:ascii="仿宋" w:hAnsi="仿宋" w:eastAsia="仿宋" w:cs="仿宋"/>
          <w:kern w:val="0"/>
          <w:szCs w:val="21"/>
          <w:highlight w:val="none"/>
          <w:lang w:eastAsia="zh-CN"/>
        </w:rPr>
        <w:t>浮动管理费</w:t>
      </w:r>
    </w:p>
    <w:p>
      <w:pPr>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1</w:t>
      </w:r>
      <w:r>
        <w:rPr>
          <w:rFonts w:hint="eastAsia" w:ascii="仿宋" w:hAnsi="仿宋" w:eastAsia="仿宋" w:cs="仿宋"/>
          <w:color w:val="000000"/>
          <w:kern w:val="0"/>
          <w:szCs w:val="21"/>
          <w:highlight w:val="none"/>
        </w:rPr>
        <w:t>情形下，</w:t>
      </w:r>
      <w:r>
        <w:rPr>
          <w:rFonts w:hint="eastAsia" w:ascii="仿宋" w:hAnsi="仿宋" w:eastAsia="仿宋" w:cs="仿宋"/>
          <w:kern w:val="0"/>
          <w:szCs w:val="21"/>
          <w:highlight w:val="none"/>
          <w:lang w:eastAsia="zh-CN"/>
        </w:rPr>
        <w:t>浮动管理费</w:t>
      </w:r>
      <w:r>
        <w:rPr>
          <w:rFonts w:hint="eastAsia" w:ascii="仿宋" w:hAnsi="仿宋" w:eastAsia="仿宋" w:cs="仿宋"/>
          <w:kern w:val="0"/>
          <w:szCs w:val="21"/>
          <w:highlight w:val="none"/>
        </w:rPr>
        <w:t>=[当期超额报酬计提前净值-当期申购金额×（1+</w:t>
      </w:r>
      <w:r>
        <w:rPr>
          <w:rFonts w:hint="eastAsia" w:ascii="仿宋" w:hAnsi="仿宋" w:eastAsia="仿宋" w:cs="仿宋"/>
          <w:kern w:val="0"/>
          <w:szCs w:val="21"/>
          <w:highlight w:val="none"/>
          <w:lang w:val="en-US" w:eastAsia="zh-CN"/>
        </w:rPr>
        <w:t>c</w:t>
      </w:r>
      <w:r>
        <w:rPr>
          <w:rFonts w:hint="eastAsia" w:ascii="仿宋" w:hAnsi="仿宋" w:eastAsia="仿宋" w:cs="仿宋"/>
          <w:kern w:val="0"/>
          <w:szCs w:val="21"/>
          <w:highlight w:val="none"/>
        </w:rPr>
        <w:t>×D÷365）]×50%</w:t>
      </w:r>
    </w:p>
    <w:p>
      <w:pPr>
        <w:spacing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2</w:t>
      </w:r>
      <w:r>
        <w:rPr>
          <w:rFonts w:hint="eastAsia" w:ascii="仿宋" w:hAnsi="仿宋" w:eastAsia="仿宋" w:cs="仿宋"/>
          <w:color w:val="000000"/>
          <w:kern w:val="0"/>
          <w:szCs w:val="21"/>
          <w:highlight w:val="none"/>
        </w:rPr>
        <w:t>情形下，</w:t>
      </w:r>
      <w:r>
        <w:rPr>
          <w:rFonts w:hint="eastAsia" w:ascii="仿宋" w:hAnsi="仿宋" w:eastAsia="仿宋" w:cs="仿宋"/>
          <w:kern w:val="0"/>
          <w:szCs w:val="21"/>
          <w:highlight w:val="none"/>
          <w:lang w:eastAsia="zh-CN"/>
        </w:rPr>
        <w:t>浮动管理费</w:t>
      </w:r>
      <w:r>
        <w:rPr>
          <w:rFonts w:hint="eastAsia" w:ascii="仿宋" w:hAnsi="仿宋" w:eastAsia="仿宋" w:cs="仿宋"/>
          <w:kern w:val="0"/>
          <w:szCs w:val="21"/>
          <w:highlight w:val="none"/>
        </w:rPr>
        <w:t>=[当期超额报酬计提前净值-当期申购金额×（1+</w:t>
      </w:r>
      <w:r>
        <w:rPr>
          <w:rFonts w:hint="eastAsia" w:ascii="仿宋" w:hAnsi="仿宋" w:eastAsia="仿宋" w:cs="仿宋"/>
          <w:kern w:val="0"/>
          <w:szCs w:val="21"/>
          <w:highlight w:val="none"/>
          <w:lang w:val="en-US" w:eastAsia="zh-CN"/>
        </w:rPr>
        <w:t>d</w:t>
      </w:r>
      <w:r>
        <w:rPr>
          <w:rFonts w:hint="eastAsia" w:ascii="仿宋" w:hAnsi="仿宋" w:eastAsia="仿宋" w:cs="仿宋"/>
          <w:kern w:val="0"/>
          <w:szCs w:val="21"/>
          <w:highlight w:val="none"/>
        </w:rPr>
        <w:t>×D÷365)]×80%+[当期申购金额×（1+</w:t>
      </w:r>
      <w:r>
        <w:rPr>
          <w:rFonts w:hint="eastAsia" w:ascii="仿宋" w:hAnsi="仿宋" w:eastAsia="仿宋" w:cs="仿宋"/>
          <w:kern w:val="0"/>
          <w:szCs w:val="21"/>
          <w:highlight w:val="none"/>
          <w:lang w:val="en-US" w:eastAsia="zh-CN"/>
        </w:rPr>
        <w:t>d</w:t>
      </w:r>
      <w:r>
        <w:rPr>
          <w:rFonts w:hint="eastAsia" w:ascii="仿宋" w:hAnsi="仿宋" w:eastAsia="仿宋" w:cs="仿宋"/>
          <w:kern w:val="0"/>
          <w:szCs w:val="21"/>
          <w:highlight w:val="none"/>
        </w:rPr>
        <w:t>×D÷365)-当期申购金额×（1+</w:t>
      </w:r>
      <w:r>
        <w:rPr>
          <w:rFonts w:hint="eastAsia" w:ascii="仿宋" w:hAnsi="仿宋" w:eastAsia="仿宋" w:cs="仿宋"/>
          <w:kern w:val="0"/>
          <w:szCs w:val="21"/>
          <w:highlight w:val="none"/>
          <w:lang w:val="en-US" w:eastAsia="zh-CN"/>
        </w:rPr>
        <w:t>c</w:t>
      </w:r>
      <w:r>
        <w:rPr>
          <w:rFonts w:hint="eastAsia" w:ascii="仿宋" w:hAnsi="仿宋" w:eastAsia="仿宋" w:cs="仿宋"/>
          <w:kern w:val="0"/>
          <w:szCs w:val="21"/>
          <w:highlight w:val="none"/>
        </w:rPr>
        <w:t>×D÷365）]×50%</w:t>
      </w:r>
    </w:p>
    <w:p>
      <w:pPr>
        <w:rPr>
          <w:rFonts w:hint="eastAsia" w:ascii="仿宋" w:hAnsi="仿宋" w:eastAsia="仿宋" w:cs="仿宋"/>
          <w:kern w:val="0"/>
          <w:szCs w:val="21"/>
        </w:rPr>
      </w:pPr>
      <w:r>
        <w:rPr>
          <w:rFonts w:hint="eastAsia" w:ascii="仿宋" w:hAnsi="仿宋" w:eastAsia="仿宋" w:cs="仿宋"/>
          <w:kern w:val="0"/>
          <w:szCs w:val="21"/>
          <w:highlight w:val="none"/>
        </w:rPr>
        <w:t>江阴农商银行有权根据市场情况、产品运作情况对本产品的各项费用费率、年化业绩比较基准以及</w:t>
      </w:r>
      <w:r>
        <w:rPr>
          <w:rFonts w:hint="eastAsia" w:ascii="仿宋" w:hAnsi="仿宋" w:eastAsia="仿宋" w:cs="仿宋"/>
          <w:kern w:val="0"/>
          <w:szCs w:val="21"/>
          <w:highlight w:val="none"/>
          <w:lang w:eastAsia="zh-CN"/>
        </w:rPr>
        <w:t>浮动管理费</w:t>
      </w:r>
      <w:r>
        <w:rPr>
          <w:rFonts w:hint="eastAsia" w:ascii="仿宋" w:hAnsi="仿宋" w:eastAsia="仿宋" w:cs="仿宋"/>
          <w:kern w:val="0"/>
          <w:szCs w:val="21"/>
          <w:highlight w:val="none"/>
        </w:rPr>
        <w:t>计提比例进行调整，并至少于调</w:t>
      </w:r>
      <w:r>
        <w:rPr>
          <w:rFonts w:hint="eastAsia" w:ascii="仿宋" w:hAnsi="仿宋" w:eastAsia="仿宋" w:cs="仿宋"/>
          <w:kern w:val="0"/>
          <w:szCs w:val="21"/>
        </w:rPr>
        <w:t>整日之前2个工作日进行公告。计算过程小数位取舍以管理人系统计算规则为准。</w:t>
      </w:r>
    </w:p>
    <w:p>
      <w:pPr>
        <w:numPr>
          <w:ilvl w:val="0"/>
          <w:numId w:val="1"/>
        </w:numPr>
        <w:ind w:firstLine="420"/>
        <w:rPr>
          <w:rFonts w:hint="eastAsia" w:cs="仿宋" w:asciiTheme="minorEastAsia" w:hAnsiTheme="minorEastAsia"/>
        </w:rPr>
      </w:pPr>
      <w:r>
        <w:rPr>
          <w:rFonts w:hint="eastAsia" w:cs="仿宋" w:asciiTheme="minorEastAsia" w:hAnsiTheme="minorEastAsia"/>
          <w:b/>
          <w:bCs/>
          <w:lang w:val="en-US" w:eastAsia="zh-CN"/>
        </w:rPr>
        <w:t>具体产品：</w:t>
      </w:r>
      <w:r>
        <w:rPr>
          <w:rFonts w:hint="eastAsia" w:cs="仿宋" w:asciiTheme="minorEastAsia" w:hAnsiTheme="minorEastAsia"/>
        </w:rPr>
        <w:t>芙蓉·增益一年定开净值型人民币理财产品、芙蓉·增益两年定开净值型人民币理财产品、芙蓉·增益三年定开净值型人民币理财产品、芙蓉·增益五年定开净值型人民币理财产品</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firstLine="420" w:firstLineChars="200"/>
        <w:jc w:val="left"/>
        <w:textAlignment w:val="auto"/>
        <w:rPr>
          <w:rFonts w:hint="default" w:cs="仿宋" w:asciiTheme="minorEastAsia" w:hAnsiTheme="minorEastAsia" w:eastAsiaTheme="minorEastAsia"/>
          <w:lang w:val="en-US" w:eastAsia="zh-CN"/>
        </w:rPr>
      </w:pPr>
      <w:r>
        <w:rPr>
          <w:rFonts w:hint="eastAsia" w:cs="仿宋" w:asciiTheme="minorEastAsia" w:hAnsiTheme="minorEastAsia"/>
          <w:lang w:val="en-US" w:eastAsia="zh-CN"/>
        </w:rPr>
        <w:t xml:space="preserve">  </w:t>
      </w:r>
      <w:r>
        <w:rPr>
          <w:rFonts w:hint="eastAsia" w:asciiTheme="minorEastAsia" w:hAnsiTheme="minorEastAsia" w:eastAsiaTheme="minorEastAsia" w:cstheme="minorEastAsia"/>
          <w:b/>
          <w:bCs/>
          <w:kern w:val="0"/>
          <w:szCs w:val="21"/>
          <w:highlight w:val="none"/>
          <w:lang w:val="en-US" w:eastAsia="zh-CN"/>
        </w:rPr>
        <w:t>变更</w:t>
      </w:r>
      <w:r>
        <w:rPr>
          <w:rFonts w:hint="eastAsia" w:asciiTheme="minorEastAsia" w:hAnsiTheme="minorEastAsia" w:cstheme="minorEastAsia"/>
          <w:b/>
          <w:bCs/>
          <w:kern w:val="0"/>
          <w:szCs w:val="21"/>
          <w:highlight w:val="none"/>
          <w:lang w:val="en-US" w:eastAsia="zh-CN"/>
        </w:rPr>
        <w:t>前</w:t>
      </w:r>
      <w:r>
        <w:rPr>
          <w:rFonts w:hint="eastAsia" w:asciiTheme="minorEastAsia" w:hAnsiTheme="minorEastAsia" w:eastAsiaTheme="minorEastAsia" w:cstheme="minorEastAsia"/>
          <w:b/>
          <w:bCs/>
          <w:kern w:val="0"/>
          <w:szCs w:val="21"/>
          <w:highlight w:val="none"/>
          <w:lang w:val="en-US" w:eastAsia="zh-CN"/>
        </w:rPr>
        <w:t>：</w:t>
      </w:r>
    </w:p>
    <w:p>
      <w:pPr>
        <w:spacing w:after="0" w:line="240" w:lineRule="auto"/>
        <w:jc w:val="left"/>
        <w:rPr>
          <w:rFonts w:hint="eastAsia" w:ascii="仿宋" w:hAnsi="仿宋" w:eastAsia="仿宋" w:cs="仿宋"/>
          <w:kern w:val="0"/>
          <w:szCs w:val="21"/>
          <w:highlight w:val="none"/>
        </w:rPr>
      </w:pPr>
      <w:r>
        <w:rPr>
          <w:rFonts w:hint="eastAsia" w:ascii="仿宋" w:hAnsi="仿宋" w:eastAsia="仿宋" w:cs="宋体w泡.."/>
          <w:kern w:val="0"/>
          <w:szCs w:val="21"/>
        </w:rPr>
        <w:t>浮动管理</w:t>
      </w:r>
      <w:r>
        <w:rPr>
          <w:rFonts w:hint="eastAsia" w:ascii="仿宋" w:hAnsi="仿宋" w:eastAsia="仿宋" w:cs="宋体w泡.."/>
          <w:kern w:val="0"/>
          <w:szCs w:val="21"/>
          <w:highlight w:val="none"/>
        </w:rPr>
        <w:t>费：</w:t>
      </w:r>
      <w:r>
        <w:rPr>
          <w:rFonts w:hint="eastAsia" w:ascii="仿宋" w:hAnsi="仿宋" w:eastAsia="仿宋" w:cs="仿宋"/>
          <w:kern w:val="0"/>
          <w:szCs w:val="21"/>
          <w:highlight w:val="none"/>
        </w:rPr>
        <w:t>若每个封闭周期终止日，扣除销售手续费、产品托管费、固定管理费及相关税费后，理财资金收益折合年化收益率R超过当期年化业绩比较基准r下限a（以最新公布的为准），则江阴农商银行有权按以下超额累计方式计提比例收取当封闭周期的浮动管理费。</w:t>
      </w:r>
    </w:p>
    <w:p>
      <w:pPr>
        <w:spacing w:after="0" w:line="240" w:lineRule="auto"/>
        <w:rPr>
          <w:rFonts w:hint="eastAsia" w:ascii="仿宋" w:hAnsi="仿宋" w:eastAsia="仿宋" w:cs="仿宋"/>
          <w:kern w:val="0"/>
          <w:szCs w:val="21"/>
          <w:highlight w:val="none"/>
        </w:rPr>
      </w:pPr>
      <w:r>
        <w:rPr>
          <w:rFonts w:hint="eastAsia" w:ascii="仿宋" w:hAnsi="仿宋" w:eastAsia="仿宋" w:cs="仿宋"/>
          <w:kern w:val="0"/>
          <w:szCs w:val="21"/>
          <w:highlight w:val="none"/>
        </w:rPr>
        <w:t>浮动管理费计提前的封闭周期年化收益率：</w:t>
      </w:r>
    </w:p>
    <w:p>
      <w:pPr>
        <w:spacing w:after="0" w:line="240" w:lineRule="auto"/>
        <w:jc w:val="center"/>
        <w:rPr>
          <w:rFonts w:hint="eastAsia" w:ascii="仿宋" w:hAnsi="仿宋" w:eastAsia="仿宋" w:cs="仿宋"/>
          <w:szCs w:val="21"/>
          <w:highlight w:val="none"/>
        </w:rPr>
      </w:pPr>
      <m:oMath>
        <m:r>
          <m:rPr>
            <m:sty m:val="p"/>
          </m:rPr>
          <w:rPr>
            <w:rFonts w:hint="eastAsia" w:ascii="Cambria Math" w:hAnsi="Cambria Math" w:eastAsia="仿宋" w:cs="仿宋"/>
            <w:szCs w:val="21"/>
            <w:highlight w:val="none"/>
          </w:rPr>
          <m:t>R=</m:t>
        </m:r>
        <m:f>
          <m:fPr>
            <m:ctrlPr>
              <w:rPr>
                <w:rFonts w:hint="eastAsia" w:ascii="Cambria Math" w:hAnsi="Cambria Math" w:eastAsia="仿宋" w:cs="仿宋"/>
                <w:szCs w:val="21"/>
                <w:highlight w:val="none"/>
              </w:rPr>
            </m:ctrlPr>
          </m:fPr>
          <m:num>
            <m:d>
              <m:dPr>
                <m:ctrlPr>
                  <w:rPr>
                    <w:rFonts w:hint="eastAsia" w:ascii="Cambria Math" w:hAnsi="Cambria Math" w:eastAsia="仿宋" w:cs="仿宋"/>
                    <w:i/>
                    <w:szCs w:val="21"/>
                    <w:highlight w:val="none"/>
                  </w:rPr>
                </m:ctrlPr>
              </m:dPr>
              <m:e>
                <m:f>
                  <m:fPr>
                    <m:ctrlPr>
                      <w:rPr>
                        <w:rFonts w:hint="eastAsia" w:ascii="Cambria Math" w:hAnsi="Cambria Math" w:eastAsia="仿宋" w:cs="仿宋"/>
                        <w:i/>
                        <w:szCs w:val="21"/>
                        <w:highlight w:val="none"/>
                      </w:rPr>
                    </m:ctrlPr>
                  </m:fPr>
                  <m:num>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期末净值</m:t>
                        </m:r>
                        <m:ctrlPr>
                          <w:rPr>
                            <w:rFonts w:hint="eastAsia" w:ascii="Cambria Math" w:hAnsi="Cambria Math" w:eastAsia="仿宋" w:cs="仿宋"/>
                            <w:i/>
                            <w:szCs w:val="21"/>
                            <w:highlight w:val="none"/>
                          </w:rPr>
                        </m:ctrlPr>
                      </m:sub>
                    </m:sSub>
                    <m:r>
                      <w:rPr>
                        <w:rFonts w:hint="eastAsia" w:ascii="Cambria Math" w:hAnsi="Cambria Math" w:eastAsia="仿宋" w:cs="仿宋"/>
                        <w:szCs w:val="21"/>
                        <w:highlight w:val="none"/>
                      </w:rPr>
                      <m:t>-</m:t>
                    </m:r>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期初净值</m:t>
                        </m:r>
                        <m:ctrlPr>
                          <w:rPr>
                            <w:rFonts w:hint="eastAsia" w:ascii="Cambria Math" w:hAnsi="Cambria Math" w:eastAsia="仿宋" w:cs="仿宋"/>
                            <w:i/>
                            <w:szCs w:val="21"/>
                            <w:highlight w:val="none"/>
                          </w:rPr>
                        </m:ctrlPr>
                      </m:sub>
                    </m:sSub>
                    <m:ctrlPr>
                      <w:rPr>
                        <w:rFonts w:hint="eastAsia" w:ascii="Cambria Math" w:hAnsi="Cambria Math" w:eastAsia="仿宋" w:cs="仿宋"/>
                        <w:i/>
                        <w:szCs w:val="21"/>
                        <w:highlight w:val="none"/>
                      </w:rPr>
                    </m:ctrlPr>
                  </m:num>
                  <m:den>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期初净值</m:t>
                        </m:r>
                        <m:ctrlPr>
                          <w:rPr>
                            <w:rFonts w:hint="eastAsia" w:ascii="Cambria Math" w:hAnsi="Cambria Math" w:eastAsia="仿宋" w:cs="仿宋"/>
                            <w:i/>
                            <w:szCs w:val="21"/>
                            <w:highlight w:val="none"/>
                          </w:rPr>
                        </m:ctrlPr>
                      </m:sub>
                    </m:sSub>
                    <m:ctrlPr>
                      <w:rPr>
                        <w:rFonts w:hint="eastAsia" w:ascii="Cambria Math" w:hAnsi="Cambria Math" w:eastAsia="仿宋" w:cs="仿宋"/>
                        <w:i/>
                        <w:szCs w:val="21"/>
                        <w:highlight w:val="none"/>
                      </w:rPr>
                    </m:ctrlPr>
                  </m:den>
                </m:f>
                <m:ctrlPr>
                  <w:rPr>
                    <w:rFonts w:hint="eastAsia" w:ascii="Cambria Math" w:hAnsi="Cambria Math" w:eastAsia="仿宋" w:cs="仿宋"/>
                    <w:i/>
                    <w:szCs w:val="21"/>
                    <w:highlight w:val="none"/>
                  </w:rPr>
                </m:ctrlPr>
              </m:e>
            </m:d>
            <m:ctrlPr>
              <w:rPr>
                <w:rFonts w:hint="eastAsia" w:ascii="Cambria Math" w:hAnsi="Cambria Math" w:eastAsia="仿宋" w:cs="仿宋"/>
                <w:szCs w:val="21"/>
                <w:highlight w:val="none"/>
              </w:rPr>
            </m:ctrlPr>
          </m:num>
          <m:den>
            <m:r>
              <w:rPr>
                <w:rFonts w:hint="eastAsia" w:ascii="Cambria Math" w:hAnsi="Cambria Math" w:eastAsia="仿宋" w:cs="仿宋"/>
                <w:szCs w:val="21"/>
                <w:highlight w:val="none"/>
              </w:rPr>
              <m:t>D</m:t>
            </m:r>
            <m:ctrlPr>
              <w:rPr>
                <w:rFonts w:hint="eastAsia" w:ascii="Cambria Math" w:hAnsi="Cambria Math" w:eastAsia="仿宋" w:cs="仿宋"/>
                <w:szCs w:val="21"/>
                <w:highlight w:val="none"/>
              </w:rPr>
            </m:ctrlPr>
          </m:den>
        </m:f>
      </m:oMath>
      <w:r>
        <w:rPr>
          <w:rFonts w:hint="eastAsia" w:ascii="仿宋" w:hAnsi="仿宋" w:eastAsia="仿宋" w:cs="仿宋"/>
          <w:szCs w:val="21"/>
          <w:highlight w:val="none"/>
        </w:rPr>
        <w:t>×365</w:t>
      </w:r>
    </w:p>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其中，</w:t>
      </w:r>
      <m:oMath>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期末净值</m:t>
            </m:r>
            <m:ctrlPr>
              <w:rPr>
                <w:rFonts w:hint="eastAsia" w:ascii="Cambria Math" w:hAnsi="Cambria Math" w:eastAsia="仿宋" w:cs="仿宋"/>
                <w:i/>
                <w:szCs w:val="21"/>
                <w:highlight w:val="none"/>
              </w:rPr>
            </m:ctrlPr>
          </m:sub>
        </m:sSub>
      </m:oMath>
      <w:r>
        <w:rPr>
          <w:rFonts w:hint="eastAsia" w:ascii="仿宋" w:hAnsi="仿宋" w:eastAsia="仿宋" w:cs="仿宋"/>
          <w:kern w:val="0"/>
          <w:szCs w:val="21"/>
          <w:highlight w:val="none"/>
        </w:rPr>
        <w:t xml:space="preserve">表示当期投资周期期末浮动管理费计提前的单位净值，即投资周期终止日前一个工作日的浮动管理费计提前的理财产品净值， </w:t>
      </w:r>
      <m:oMath>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期初净值</m:t>
            </m:r>
            <m:ctrlPr>
              <w:rPr>
                <w:rFonts w:hint="eastAsia" w:ascii="Cambria Math" w:hAnsi="Cambria Math" w:eastAsia="仿宋" w:cs="仿宋"/>
                <w:i/>
                <w:szCs w:val="21"/>
                <w:highlight w:val="none"/>
              </w:rPr>
            </m:ctrlPr>
          </m:sub>
        </m:sSub>
      </m:oMath>
      <w:r>
        <w:rPr>
          <w:rFonts w:hint="eastAsia" w:ascii="仿宋" w:hAnsi="仿宋" w:eastAsia="仿宋" w:cs="仿宋"/>
          <w:kern w:val="0"/>
          <w:szCs w:val="21"/>
          <w:highlight w:val="none"/>
        </w:rPr>
        <w:t>表示当期投资周期的申购单位净值，即申购确认日前一个工作日的理财产品净值；D表示当期投资周期，即产品固定持有天数；r表示当期份额确认日的年化业绩比较基准；b表示当期份额确认日的年化业绩比较基准上限；a表示当期份额确认日的年化业绩比较基准下限。</w:t>
      </w:r>
    </w:p>
    <w:p>
      <w:pPr>
        <w:spacing w:after="0" w:line="240" w:lineRule="auto"/>
        <w:jc w:val="left"/>
        <w:rPr>
          <w:rFonts w:hint="eastAsia" w:ascii="仿宋" w:hAnsi="仿宋" w:eastAsia="仿宋" w:cs="仿宋"/>
          <w:b/>
          <w:kern w:val="0"/>
          <w:szCs w:val="21"/>
          <w:highlight w:val="none"/>
        </w:rPr>
      </w:pPr>
      <w:r>
        <w:rPr>
          <w:rFonts w:hint="eastAsia" w:ascii="仿宋" w:hAnsi="仿宋" w:eastAsia="仿宋" w:cs="仿宋"/>
          <w:b/>
          <w:kern w:val="0"/>
          <w:szCs w:val="21"/>
          <w:highlight w:val="none"/>
        </w:rPr>
        <w:t>浮动管理费计提比例公式如下：</w:t>
      </w:r>
    </w:p>
    <w:tbl>
      <w:tblPr>
        <w:tblStyle w:val="5"/>
        <w:tblW w:w="59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4"/>
        <w:gridCol w:w="20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spacing w:after="0" w:line="240" w:lineRule="auto"/>
              <w:jc w:val="left"/>
              <w:rPr>
                <w:rFonts w:hint="eastAsia" w:ascii="宋体" w:hAnsi="宋体" w:cs="宋体"/>
                <w:kern w:val="0"/>
                <w:sz w:val="15"/>
                <w:szCs w:val="15"/>
                <w:highlight w:val="none"/>
              </w:rPr>
            </w:pPr>
            <w:r>
              <w:rPr>
                <w:rFonts w:hint="eastAsia" w:ascii="宋体" w:hAnsi="宋体" w:cs="宋体"/>
                <w:kern w:val="0"/>
                <w:sz w:val="15"/>
                <w:szCs w:val="15"/>
                <w:highlight w:val="none"/>
              </w:rPr>
              <w:t>浮动管理费计提前的当日年化收益率</w:t>
            </w:r>
          </w:p>
        </w:tc>
        <w:tc>
          <w:tcPr>
            <w:tcW w:w="2044" w:type="dxa"/>
          </w:tcPr>
          <w:p>
            <w:pPr>
              <w:spacing w:after="0" w:line="240" w:lineRule="auto"/>
              <w:jc w:val="left"/>
              <w:rPr>
                <w:rFonts w:hint="eastAsia" w:ascii="宋体" w:hAnsi="宋体" w:cs="宋体"/>
                <w:kern w:val="0"/>
                <w:sz w:val="15"/>
                <w:szCs w:val="15"/>
                <w:highlight w:val="none"/>
              </w:rPr>
            </w:pPr>
            <w:r>
              <w:rPr>
                <w:rFonts w:hint="eastAsia" w:ascii="宋体" w:hAnsi="宋体" w:cs="宋体"/>
                <w:kern w:val="0"/>
                <w:sz w:val="15"/>
                <w:szCs w:val="15"/>
                <w:highlight w:val="none"/>
              </w:rPr>
              <w:t>浮动管理费（I）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R≤a</w:t>
            </w:r>
          </w:p>
        </w:tc>
        <w:tc>
          <w:tcPr>
            <w:tcW w:w="2044" w:type="dxa"/>
          </w:tcPr>
          <w:p>
            <w:pPr>
              <w:spacing w:after="0" w:line="240" w:lineRule="auto"/>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I=0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a＜R</w:t>
            </w:r>
            <w:r>
              <w:rPr>
                <w:rFonts w:hint="eastAsia" w:ascii="仿宋" w:hAnsi="仿宋" w:eastAsia="仿宋" w:cs="仿宋"/>
                <w:kern w:val="0"/>
                <w:szCs w:val="21"/>
                <w:highlight w:val="none"/>
                <w:vertAlign w:val="subscript"/>
              </w:rPr>
              <w:t>1</w:t>
            </w:r>
            <w:r>
              <w:rPr>
                <w:rFonts w:hint="eastAsia" w:ascii="仿宋" w:hAnsi="仿宋" w:eastAsia="仿宋" w:cs="仿宋"/>
                <w:kern w:val="0"/>
                <w:szCs w:val="21"/>
                <w:highlight w:val="none"/>
              </w:rPr>
              <w:t>≤b</w:t>
            </w:r>
          </w:p>
        </w:tc>
        <w:tc>
          <w:tcPr>
            <w:tcW w:w="2044" w:type="dxa"/>
          </w:tcPr>
          <w:p>
            <w:pPr>
              <w:spacing w:after="0" w:line="240" w:lineRule="auto"/>
              <w:jc w:val="left"/>
              <w:rPr>
                <w:rFonts w:hint="eastAsia" w:ascii="仿宋" w:hAnsi="仿宋" w:eastAsia="仿宋" w:cs="仿宋"/>
                <w:kern w:val="0"/>
                <w:szCs w:val="21"/>
                <w:highlight w:val="none"/>
              </w:rPr>
            </w:pPr>
            <w:r>
              <w:rPr>
                <w:rFonts w:hint="eastAsia" w:ascii="仿宋" w:hAnsi="仿宋" w:eastAsia="仿宋" w:cs="仿宋"/>
                <w:color w:val="000000"/>
                <w:kern w:val="0"/>
                <w:szCs w:val="21"/>
                <w:highlight w:val="none"/>
              </w:rPr>
              <w:t>I</w:t>
            </w:r>
            <w:r>
              <w:rPr>
                <w:rFonts w:hint="eastAsia" w:ascii="仿宋" w:hAnsi="仿宋" w:eastAsia="仿宋" w:cs="仿宋"/>
                <w:color w:val="000000"/>
                <w:kern w:val="0"/>
                <w:szCs w:val="21"/>
                <w:highlight w:val="none"/>
                <w:vertAlign w:val="subscript"/>
              </w:rPr>
              <w:t>1</w:t>
            </w: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1</w:t>
            </w:r>
            <w:r>
              <w:rPr>
                <w:rFonts w:hint="eastAsia" w:ascii="仿宋" w:hAnsi="仿宋" w:eastAsia="仿宋" w:cs="仿宋"/>
                <w:kern w:val="0"/>
                <w:szCs w:val="21"/>
                <w:highlight w:val="none"/>
              </w:rPr>
              <w:t>-a)×30%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tcPr>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b＜R</w:t>
            </w:r>
            <w:r>
              <w:rPr>
                <w:rFonts w:hint="eastAsia" w:ascii="仿宋" w:hAnsi="仿宋" w:eastAsia="仿宋" w:cs="仿宋"/>
                <w:kern w:val="0"/>
                <w:szCs w:val="21"/>
                <w:highlight w:val="none"/>
                <w:vertAlign w:val="subscript"/>
              </w:rPr>
              <w:t>2</w:t>
            </w:r>
          </w:p>
        </w:tc>
        <w:tc>
          <w:tcPr>
            <w:tcW w:w="2044" w:type="dxa"/>
          </w:tcPr>
          <w:p>
            <w:pPr>
              <w:spacing w:after="0" w:line="240" w:lineRule="auto"/>
              <w:jc w:val="left"/>
              <w:rPr>
                <w:rFonts w:hint="eastAsia" w:ascii="仿宋" w:hAnsi="仿宋" w:eastAsia="仿宋" w:cs="仿宋"/>
                <w:kern w:val="0"/>
                <w:szCs w:val="21"/>
                <w:highlight w:val="none"/>
              </w:rPr>
            </w:pPr>
            <w:r>
              <w:rPr>
                <w:rFonts w:hint="eastAsia" w:ascii="仿宋" w:hAnsi="仿宋" w:eastAsia="仿宋" w:cs="仿宋"/>
                <w:color w:val="000000"/>
                <w:kern w:val="0"/>
                <w:szCs w:val="21"/>
                <w:highlight w:val="none"/>
              </w:rPr>
              <w:t>I</w:t>
            </w:r>
            <w:r>
              <w:rPr>
                <w:rFonts w:hint="eastAsia" w:ascii="仿宋" w:hAnsi="仿宋" w:eastAsia="仿宋" w:cs="仿宋"/>
                <w:color w:val="000000"/>
                <w:kern w:val="0"/>
                <w:szCs w:val="21"/>
                <w:highlight w:val="none"/>
                <w:vertAlign w:val="subscript"/>
              </w:rPr>
              <w:t>2</w:t>
            </w: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2</w:t>
            </w:r>
            <w:r>
              <w:rPr>
                <w:rFonts w:hint="eastAsia" w:ascii="仿宋" w:hAnsi="仿宋" w:eastAsia="仿宋" w:cs="仿宋"/>
                <w:kern w:val="0"/>
                <w:szCs w:val="21"/>
                <w:highlight w:val="none"/>
              </w:rPr>
              <w:t>-b)×50%</w:t>
            </w:r>
          </w:p>
        </w:tc>
      </w:tr>
    </w:tbl>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其中，I表示计提的浮动管理费比例，计提方式采用超额累进方式，例如当R=3%，a=2%，b=2.5%,则江阴农商银行收取的浮动管理费比例为I=</w:t>
      </w:r>
      <w:r>
        <w:rPr>
          <w:rFonts w:hint="eastAsia" w:ascii="仿宋" w:hAnsi="仿宋" w:eastAsia="仿宋" w:cs="仿宋"/>
          <w:color w:val="000000"/>
          <w:kern w:val="0"/>
          <w:szCs w:val="21"/>
          <w:highlight w:val="none"/>
        </w:rPr>
        <w:t>I</w:t>
      </w:r>
      <w:r>
        <w:rPr>
          <w:rFonts w:hint="eastAsia" w:ascii="仿宋" w:hAnsi="仿宋" w:eastAsia="仿宋" w:cs="仿宋"/>
          <w:color w:val="000000"/>
          <w:kern w:val="0"/>
          <w:szCs w:val="21"/>
          <w:highlight w:val="none"/>
          <w:vertAlign w:val="subscript"/>
        </w:rPr>
        <w:t>1</w:t>
      </w:r>
      <w:r>
        <w:rPr>
          <w:rFonts w:hint="eastAsia" w:ascii="仿宋" w:hAnsi="仿宋" w:eastAsia="仿宋" w:cs="仿宋"/>
          <w:color w:val="000000"/>
          <w:kern w:val="0"/>
          <w:szCs w:val="21"/>
          <w:highlight w:val="none"/>
        </w:rPr>
        <w:t>+</w:t>
      </w:r>
      <w:r>
        <w:rPr>
          <w:rFonts w:hint="eastAsia" w:ascii="仿宋" w:hAnsi="仿宋" w:eastAsia="仿宋" w:cs="仿宋"/>
          <w:kern w:val="0"/>
          <w:szCs w:val="21"/>
          <w:highlight w:val="none"/>
        </w:rPr>
        <w:t>I</w:t>
      </w:r>
      <w:r>
        <w:rPr>
          <w:rFonts w:hint="eastAsia" w:ascii="仿宋" w:hAnsi="仿宋" w:eastAsia="仿宋" w:cs="仿宋"/>
          <w:kern w:val="0"/>
          <w:szCs w:val="21"/>
          <w:highlight w:val="none"/>
          <w:vertAlign w:val="subscript"/>
        </w:rPr>
        <w:t>2</w:t>
      </w:r>
      <w:r>
        <w:rPr>
          <w:rFonts w:hint="eastAsia" w:ascii="仿宋" w:hAnsi="仿宋" w:eastAsia="仿宋" w:cs="仿宋"/>
          <w:kern w:val="0"/>
          <w:szCs w:val="21"/>
          <w:highlight w:val="none"/>
        </w:rPr>
        <w:t>=0.40%。</w:t>
      </w:r>
    </w:p>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R</w:t>
      </w:r>
      <w:r>
        <w:rPr>
          <w:rFonts w:hint="eastAsia" w:ascii="仿宋" w:hAnsi="仿宋" w:eastAsia="仿宋" w:cs="仿宋"/>
          <w:color w:val="000000"/>
          <w:kern w:val="0"/>
          <w:szCs w:val="21"/>
          <w:highlight w:val="none"/>
        </w:rPr>
        <w:t>情形下，</w:t>
      </w:r>
      <w:r>
        <w:rPr>
          <w:rFonts w:hint="eastAsia" w:ascii="仿宋" w:hAnsi="仿宋" w:eastAsia="仿宋" w:cs="仿宋"/>
          <w:kern w:val="0"/>
          <w:szCs w:val="21"/>
          <w:highlight w:val="none"/>
        </w:rPr>
        <w:t>不再计提浮动管理费</w:t>
      </w:r>
    </w:p>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1</w:t>
      </w:r>
      <w:r>
        <w:rPr>
          <w:rFonts w:hint="eastAsia" w:ascii="仿宋" w:hAnsi="仿宋" w:eastAsia="仿宋" w:cs="仿宋"/>
          <w:color w:val="000000"/>
          <w:kern w:val="0"/>
          <w:szCs w:val="21"/>
          <w:highlight w:val="none"/>
        </w:rPr>
        <w:t>情形下，</w:t>
      </w:r>
      <w:r>
        <w:rPr>
          <w:rFonts w:hint="eastAsia" w:ascii="仿宋" w:hAnsi="仿宋" w:eastAsia="仿宋" w:cs="仿宋"/>
          <w:kern w:val="0"/>
          <w:szCs w:val="21"/>
          <w:highlight w:val="none"/>
        </w:rPr>
        <w:t>浮动管理费=[当期超额报酬计提前净值-当期申购金额×（1+a×D÷365）]×30%</w:t>
      </w:r>
    </w:p>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2</w:t>
      </w:r>
      <w:r>
        <w:rPr>
          <w:rFonts w:hint="eastAsia" w:ascii="仿宋" w:hAnsi="仿宋" w:eastAsia="仿宋" w:cs="仿宋"/>
          <w:color w:val="000000"/>
          <w:kern w:val="0"/>
          <w:szCs w:val="21"/>
          <w:highlight w:val="none"/>
        </w:rPr>
        <w:t>情形下，</w:t>
      </w:r>
      <w:r>
        <w:rPr>
          <w:rFonts w:hint="eastAsia" w:ascii="仿宋" w:hAnsi="仿宋" w:eastAsia="仿宋" w:cs="仿宋"/>
          <w:kern w:val="0"/>
          <w:szCs w:val="21"/>
          <w:highlight w:val="none"/>
        </w:rPr>
        <w:t>浮动管理费=[当期超额报酬计提前净值-当期申购金额×（1+b×D÷365)]×50%+[当期申购金额×（1+b×D÷365)-当期申购金额×（1+a×D÷365）]×30%</w:t>
      </w:r>
    </w:p>
    <w:p>
      <w:pPr>
        <w:spacing w:after="0" w:line="240" w:lineRule="auto"/>
        <w:rPr>
          <w:rFonts w:hint="eastAsia" w:ascii="仿宋" w:hAnsi="仿宋" w:eastAsia="仿宋" w:cs="仿宋"/>
          <w:kern w:val="0"/>
          <w:szCs w:val="21"/>
          <w:highlight w:val="none"/>
        </w:rPr>
      </w:pPr>
      <w:r>
        <w:rPr>
          <w:rFonts w:hint="eastAsia" w:ascii="仿宋" w:hAnsi="仿宋" w:eastAsia="仿宋" w:cs="仿宋"/>
          <w:kern w:val="0"/>
          <w:szCs w:val="21"/>
          <w:highlight w:val="none"/>
        </w:rPr>
        <w:t>江阴农商银行有权根据市场情况、产品运作情况对本产品的各项费用费率、年化业绩比较基准以及浮动管理费计提比例进行调整，并至少于调整日之前2个工作日进行公告。计算过程小数位取舍以管理人系统计算规则为准。</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firstLine="422" w:firstLineChars="200"/>
        <w:jc w:val="left"/>
        <w:textAlignment w:val="auto"/>
        <w:rPr>
          <w:rFonts w:hint="eastAsia" w:asciiTheme="minorEastAsia" w:hAnsiTheme="minorEastAsia" w:eastAsiaTheme="minorEastAsia" w:cstheme="minorEastAsia"/>
          <w:b/>
          <w:bCs/>
          <w:kern w:val="0"/>
          <w:szCs w:val="21"/>
          <w:highlight w:val="none"/>
          <w:lang w:val="en-US" w:eastAsia="zh-CN"/>
        </w:rPr>
      </w:pPr>
      <w:r>
        <w:rPr>
          <w:rFonts w:hint="eastAsia" w:asciiTheme="minorEastAsia" w:hAnsiTheme="minorEastAsia" w:eastAsiaTheme="minorEastAsia" w:cstheme="minorEastAsia"/>
          <w:b/>
          <w:bCs/>
          <w:kern w:val="0"/>
          <w:szCs w:val="21"/>
          <w:highlight w:val="none"/>
          <w:lang w:val="en-US" w:eastAsia="zh-CN"/>
        </w:rPr>
        <w:t>变更</w:t>
      </w:r>
      <w:r>
        <w:rPr>
          <w:rFonts w:hint="eastAsia" w:asciiTheme="minorEastAsia" w:hAnsiTheme="minorEastAsia" w:cstheme="minorEastAsia"/>
          <w:b/>
          <w:bCs/>
          <w:kern w:val="0"/>
          <w:szCs w:val="21"/>
          <w:highlight w:val="none"/>
          <w:lang w:val="en-US" w:eastAsia="zh-CN"/>
        </w:rPr>
        <w:t>后</w:t>
      </w:r>
      <w:r>
        <w:rPr>
          <w:rFonts w:hint="eastAsia" w:asciiTheme="minorEastAsia" w:hAnsiTheme="minorEastAsia" w:eastAsiaTheme="minorEastAsia" w:cstheme="minorEastAsia"/>
          <w:b/>
          <w:bCs/>
          <w:kern w:val="0"/>
          <w:szCs w:val="21"/>
          <w:highlight w:val="none"/>
          <w:lang w:val="en-US" w:eastAsia="zh-CN"/>
        </w:rPr>
        <w:t>：</w:t>
      </w:r>
    </w:p>
    <w:tbl>
      <w:tblPr>
        <w:tblStyle w:val="5"/>
        <w:tblpPr w:leftFromText="180" w:rightFromText="180" w:vertAnchor="text" w:horzAnchor="page" w:tblpX="1555" w:tblpY="302"/>
        <w:tblOverlap w:val="never"/>
        <w:tblW w:w="8923"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706"/>
        <w:gridCol w:w="721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240" w:hRule="atLeast"/>
          <w:tblCellSpacing w:w="0" w:type="dxa"/>
        </w:trPr>
        <w:tc>
          <w:tcPr>
            <w:tcW w:w="1706" w:type="dxa"/>
            <w:tcBorders>
              <w:top w:val="outset" w:color="auto" w:sz="6" w:space="0"/>
              <w:left w:val="outset" w:color="auto" w:sz="6" w:space="0"/>
              <w:bottom w:val="outset" w:color="auto" w:sz="6" w:space="0"/>
              <w:right w:val="outset" w:color="auto" w:sz="6" w:space="0"/>
            </w:tcBorders>
            <w:vAlign w:val="center"/>
          </w:tcPr>
          <w:p>
            <w:pPr>
              <w:widowControl/>
              <w:jc w:val="center"/>
              <w:rPr>
                <w:rFonts w:hint="eastAsia" w:ascii="宋体" w:hAnsi="宋体" w:cs="宋体"/>
                <w:kern w:val="0"/>
                <w:sz w:val="15"/>
                <w:szCs w:val="15"/>
                <w:highlight w:val="none"/>
              </w:rPr>
            </w:pPr>
            <w:r>
              <w:rPr>
                <w:rFonts w:hint="eastAsia" w:ascii="宋体" w:hAnsi="宋体" w:cs="宋体"/>
                <w:kern w:val="0"/>
                <w:sz w:val="15"/>
                <w:szCs w:val="15"/>
                <w:highlight w:val="none"/>
                <w:lang w:eastAsia="zh-CN"/>
              </w:rPr>
              <w:t>浮动管理费</w:t>
            </w:r>
            <w:r>
              <w:rPr>
                <w:rFonts w:hint="eastAsia" w:ascii="宋体" w:hAnsi="宋体" w:cs="宋体"/>
                <w:kern w:val="0"/>
                <w:sz w:val="15"/>
                <w:szCs w:val="15"/>
                <w:highlight w:val="none"/>
                <w:lang w:val="en-US" w:eastAsia="zh-CN"/>
              </w:rPr>
              <w:t>计提基准</w:t>
            </w:r>
          </w:p>
        </w:tc>
        <w:tc>
          <w:tcPr>
            <w:tcW w:w="7217" w:type="dxa"/>
            <w:tcBorders>
              <w:top w:val="outset" w:color="auto" w:sz="6" w:space="0"/>
              <w:left w:val="outset" w:color="auto" w:sz="6" w:space="0"/>
              <w:bottom w:val="outset" w:color="auto" w:sz="6" w:space="0"/>
              <w:right w:val="outset" w:color="auto" w:sz="6" w:space="0"/>
            </w:tcBorders>
            <w:vAlign w:val="center"/>
          </w:tcPr>
          <w:p>
            <w:pPr>
              <w:jc w:val="left"/>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浮动管理计提基准为c和d: c=(a+b)/2; d=b。</w:t>
            </w:r>
          </w:p>
          <w:p>
            <w:pPr>
              <w:jc w:val="left"/>
              <w:rPr>
                <w:rFonts w:hint="eastAsia" w:ascii="宋体" w:hAnsi="宋体" w:cs="宋体"/>
                <w:kern w:val="0"/>
                <w:sz w:val="15"/>
                <w:szCs w:val="15"/>
                <w:highlight w:val="none"/>
              </w:rPr>
            </w:pPr>
            <w:r>
              <w:rPr>
                <w:rFonts w:hint="eastAsia" w:ascii="宋体" w:hAnsi="宋体" w:cs="宋体"/>
                <w:kern w:val="0"/>
                <w:sz w:val="15"/>
                <w:szCs w:val="15"/>
                <w:highlight w:val="none"/>
                <w:lang w:val="en-US" w:eastAsia="zh-CN"/>
              </w:rPr>
              <w:t>其中：</w:t>
            </w:r>
            <w:r>
              <w:rPr>
                <w:rFonts w:hint="eastAsia" w:ascii="宋体" w:hAnsi="宋体" w:cs="宋体"/>
                <w:kern w:val="0"/>
                <w:sz w:val="15"/>
                <w:szCs w:val="15"/>
                <w:highlight w:val="none"/>
              </w:rPr>
              <w:t>a表示当期份额确认日的年化业绩比较基准下限</w:t>
            </w:r>
            <w:r>
              <w:rPr>
                <w:rFonts w:hint="eastAsia" w:ascii="宋体" w:hAnsi="宋体" w:cs="宋体"/>
                <w:kern w:val="0"/>
                <w:sz w:val="15"/>
                <w:szCs w:val="15"/>
                <w:highlight w:val="none"/>
                <w:lang w:eastAsia="zh-CN"/>
              </w:rPr>
              <w:t>；</w:t>
            </w:r>
            <w:r>
              <w:rPr>
                <w:rFonts w:hint="eastAsia" w:ascii="宋体" w:hAnsi="宋体" w:cs="宋体"/>
                <w:kern w:val="0"/>
                <w:sz w:val="15"/>
                <w:szCs w:val="15"/>
                <w:highlight w:val="none"/>
              </w:rPr>
              <w:t>b表示当期份额确认日的年化业绩比较基准上限;（</w:t>
            </w:r>
            <w:r>
              <w:rPr>
                <w:rFonts w:hint="eastAsia" w:ascii="宋体" w:hAnsi="宋体" w:cs="宋体"/>
                <w:kern w:val="0"/>
                <w:sz w:val="15"/>
                <w:szCs w:val="15"/>
                <w:highlight w:val="none"/>
                <w:lang w:val="en-US" w:eastAsia="zh-CN"/>
              </w:rPr>
              <w:t>a和b都</w:t>
            </w:r>
            <w:r>
              <w:rPr>
                <w:rFonts w:hint="eastAsia" w:ascii="宋体" w:hAnsi="宋体" w:cs="宋体"/>
                <w:kern w:val="0"/>
                <w:sz w:val="15"/>
                <w:szCs w:val="15"/>
                <w:highlight w:val="none"/>
              </w:rPr>
              <w:t>以最新公布的为准）</w:t>
            </w:r>
            <w:r>
              <w:rPr>
                <w:rFonts w:hint="eastAsia" w:ascii="宋体" w:hAnsi="宋体" w:cs="宋体"/>
                <w:kern w:val="0"/>
                <w:sz w:val="15"/>
                <w:szCs w:val="15"/>
                <w:highlight w:val="none"/>
                <w:lang w:val="en-US" w:eastAsia="zh-CN"/>
              </w:rPr>
              <w:t>。</w:t>
            </w:r>
          </w:p>
        </w:tc>
      </w:tr>
    </w:tbl>
    <w:p>
      <w:pPr>
        <w:spacing w:after="0" w:line="240" w:lineRule="auto"/>
        <w:jc w:val="left"/>
        <w:rPr>
          <w:rFonts w:hint="eastAsia" w:ascii="仿宋" w:hAnsi="仿宋" w:eastAsia="仿宋" w:cs="宋体w泡.."/>
          <w:kern w:val="0"/>
          <w:szCs w:val="21"/>
          <w:highlight w:val="none"/>
        </w:rPr>
      </w:pPr>
    </w:p>
    <w:p>
      <w:pPr>
        <w:spacing w:after="0" w:line="240" w:lineRule="auto"/>
        <w:jc w:val="left"/>
        <w:rPr>
          <w:rFonts w:hint="eastAsia" w:ascii="仿宋" w:hAnsi="仿宋" w:eastAsia="仿宋" w:cs="仿宋"/>
          <w:kern w:val="0"/>
          <w:szCs w:val="21"/>
          <w:highlight w:val="none"/>
        </w:rPr>
      </w:pPr>
      <w:r>
        <w:rPr>
          <w:rFonts w:hint="eastAsia" w:ascii="仿宋" w:hAnsi="仿宋" w:eastAsia="仿宋" w:cs="宋体w泡.."/>
          <w:kern w:val="0"/>
          <w:szCs w:val="21"/>
          <w:highlight w:val="none"/>
        </w:rPr>
        <w:t>浮动管理费：</w:t>
      </w:r>
      <w:r>
        <w:rPr>
          <w:rFonts w:hint="eastAsia" w:ascii="仿宋" w:hAnsi="仿宋" w:eastAsia="仿宋" w:cs="仿宋"/>
          <w:kern w:val="0"/>
          <w:szCs w:val="21"/>
          <w:highlight w:val="none"/>
        </w:rPr>
        <w:t>若每个封闭周期终止日，扣除销售手续费、产品托管费、固定管理费及相关税费后，理财资金收益折合年化收益率R超过</w:t>
      </w:r>
      <w:r>
        <w:rPr>
          <w:rFonts w:hint="eastAsia" w:ascii="仿宋" w:hAnsi="仿宋" w:eastAsia="仿宋" w:cs="仿宋"/>
          <w:kern w:val="0"/>
          <w:szCs w:val="21"/>
          <w:highlight w:val="none"/>
          <w:lang w:val="en-US" w:eastAsia="zh-CN"/>
        </w:rPr>
        <w:t>计提基准c</w:t>
      </w:r>
      <w:r>
        <w:rPr>
          <w:rFonts w:hint="eastAsia" w:ascii="仿宋" w:hAnsi="仿宋" w:eastAsia="仿宋" w:cs="仿宋"/>
          <w:kern w:val="0"/>
          <w:szCs w:val="21"/>
          <w:highlight w:val="none"/>
        </w:rPr>
        <w:t>，则江阴农商银行有权按以下超额累计方式计提比例收取当封闭周期的浮动管理费。</w:t>
      </w:r>
    </w:p>
    <w:p>
      <w:pPr>
        <w:spacing w:after="0" w:line="240" w:lineRule="auto"/>
        <w:rPr>
          <w:rFonts w:hint="eastAsia" w:ascii="仿宋" w:hAnsi="仿宋" w:eastAsia="仿宋" w:cs="仿宋"/>
          <w:kern w:val="0"/>
          <w:szCs w:val="21"/>
          <w:highlight w:val="none"/>
        </w:rPr>
      </w:pPr>
      <w:r>
        <w:rPr>
          <w:rFonts w:hint="eastAsia" w:ascii="仿宋" w:hAnsi="仿宋" w:eastAsia="仿宋" w:cs="仿宋"/>
          <w:kern w:val="0"/>
          <w:szCs w:val="21"/>
          <w:highlight w:val="none"/>
        </w:rPr>
        <w:t>浮动管理费计提前的封闭周期年化收益率：</w:t>
      </w:r>
    </w:p>
    <w:p>
      <w:pPr>
        <w:spacing w:after="0" w:line="240" w:lineRule="auto"/>
        <w:jc w:val="center"/>
        <w:rPr>
          <w:rFonts w:hint="eastAsia" w:ascii="仿宋" w:hAnsi="仿宋" w:eastAsia="仿宋" w:cs="仿宋"/>
          <w:szCs w:val="21"/>
          <w:highlight w:val="none"/>
        </w:rPr>
      </w:pPr>
      <m:oMath>
        <m:r>
          <m:rPr>
            <m:sty m:val="p"/>
          </m:rPr>
          <w:rPr>
            <w:rFonts w:hint="eastAsia" w:ascii="Cambria Math" w:hAnsi="Cambria Math" w:eastAsia="仿宋" w:cs="仿宋"/>
            <w:szCs w:val="21"/>
            <w:highlight w:val="none"/>
          </w:rPr>
          <m:t>R=</m:t>
        </m:r>
        <m:f>
          <m:fPr>
            <m:ctrlPr>
              <w:rPr>
                <w:rFonts w:hint="eastAsia" w:ascii="Cambria Math" w:hAnsi="Cambria Math" w:eastAsia="仿宋" w:cs="仿宋"/>
                <w:szCs w:val="21"/>
                <w:highlight w:val="none"/>
              </w:rPr>
            </m:ctrlPr>
          </m:fPr>
          <m:num>
            <m:d>
              <m:dPr>
                <m:ctrlPr>
                  <w:rPr>
                    <w:rFonts w:hint="eastAsia" w:ascii="Cambria Math" w:hAnsi="Cambria Math" w:eastAsia="仿宋" w:cs="仿宋"/>
                    <w:i/>
                    <w:szCs w:val="21"/>
                    <w:highlight w:val="none"/>
                  </w:rPr>
                </m:ctrlPr>
              </m:dPr>
              <m:e>
                <m:f>
                  <m:fPr>
                    <m:ctrlPr>
                      <w:rPr>
                        <w:rFonts w:hint="eastAsia" w:ascii="Cambria Math" w:hAnsi="Cambria Math" w:eastAsia="仿宋" w:cs="仿宋"/>
                        <w:i/>
                        <w:szCs w:val="21"/>
                        <w:highlight w:val="none"/>
                      </w:rPr>
                    </m:ctrlPr>
                  </m:fPr>
                  <m:num>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期末净值</m:t>
                        </m:r>
                        <m:ctrlPr>
                          <w:rPr>
                            <w:rFonts w:hint="eastAsia" w:ascii="Cambria Math" w:hAnsi="Cambria Math" w:eastAsia="仿宋" w:cs="仿宋"/>
                            <w:i/>
                            <w:szCs w:val="21"/>
                            <w:highlight w:val="none"/>
                          </w:rPr>
                        </m:ctrlPr>
                      </m:sub>
                    </m:sSub>
                    <m:r>
                      <w:rPr>
                        <w:rFonts w:hint="eastAsia" w:ascii="Cambria Math" w:hAnsi="Cambria Math" w:eastAsia="仿宋" w:cs="仿宋"/>
                        <w:szCs w:val="21"/>
                        <w:highlight w:val="none"/>
                      </w:rPr>
                      <m:t>−</m:t>
                    </m:r>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期初净值</m:t>
                        </m:r>
                        <m:ctrlPr>
                          <w:rPr>
                            <w:rFonts w:hint="eastAsia" w:ascii="Cambria Math" w:hAnsi="Cambria Math" w:eastAsia="仿宋" w:cs="仿宋"/>
                            <w:i/>
                            <w:szCs w:val="21"/>
                            <w:highlight w:val="none"/>
                          </w:rPr>
                        </m:ctrlPr>
                      </m:sub>
                    </m:sSub>
                    <m:ctrlPr>
                      <w:rPr>
                        <w:rFonts w:hint="eastAsia" w:ascii="Cambria Math" w:hAnsi="Cambria Math" w:eastAsia="仿宋" w:cs="仿宋"/>
                        <w:i/>
                        <w:szCs w:val="21"/>
                        <w:highlight w:val="none"/>
                      </w:rPr>
                    </m:ctrlPr>
                  </m:num>
                  <m:den>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期初净值</m:t>
                        </m:r>
                        <m:ctrlPr>
                          <w:rPr>
                            <w:rFonts w:hint="eastAsia" w:ascii="Cambria Math" w:hAnsi="Cambria Math" w:eastAsia="仿宋" w:cs="仿宋"/>
                            <w:i/>
                            <w:szCs w:val="21"/>
                            <w:highlight w:val="none"/>
                          </w:rPr>
                        </m:ctrlPr>
                      </m:sub>
                    </m:sSub>
                    <m:ctrlPr>
                      <w:rPr>
                        <w:rFonts w:hint="eastAsia" w:ascii="Cambria Math" w:hAnsi="Cambria Math" w:eastAsia="仿宋" w:cs="仿宋"/>
                        <w:i/>
                        <w:szCs w:val="21"/>
                        <w:highlight w:val="none"/>
                      </w:rPr>
                    </m:ctrlPr>
                  </m:den>
                </m:f>
                <m:ctrlPr>
                  <w:rPr>
                    <w:rFonts w:hint="eastAsia" w:ascii="Cambria Math" w:hAnsi="Cambria Math" w:eastAsia="仿宋" w:cs="仿宋"/>
                    <w:i/>
                    <w:szCs w:val="21"/>
                    <w:highlight w:val="none"/>
                  </w:rPr>
                </m:ctrlPr>
              </m:e>
            </m:d>
            <m:ctrlPr>
              <w:rPr>
                <w:rFonts w:hint="eastAsia" w:ascii="Cambria Math" w:hAnsi="Cambria Math" w:eastAsia="仿宋" w:cs="仿宋"/>
                <w:szCs w:val="21"/>
                <w:highlight w:val="none"/>
              </w:rPr>
            </m:ctrlPr>
          </m:num>
          <m:den>
            <m:r>
              <w:rPr>
                <w:rFonts w:hint="eastAsia" w:ascii="Cambria Math" w:hAnsi="Cambria Math" w:eastAsia="仿宋" w:cs="仿宋"/>
                <w:szCs w:val="21"/>
                <w:highlight w:val="none"/>
              </w:rPr>
              <m:t>D</m:t>
            </m:r>
            <m:ctrlPr>
              <w:rPr>
                <w:rFonts w:hint="eastAsia" w:ascii="Cambria Math" w:hAnsi="Cambria Math" w:eastAsia="仿宋" w:cs="仿宋"/>
                <w:szCs w:val="21"/>
                <w:highlight w:val="none"/>
              </w:rPr>
            </m:ctrlPr>
          </m:den>
        </m:f>
      </m:oMath>
      <w:r>
        <w:rPr>
          <w:rFonts w:hint="eastAsia" w:ascii="仿宋" w:hAnsi="仿宋" w:eastAsia="仿宋" w:cs="仿宋"/>
          <w:szCs w:val="21"/>
          <w:highlight w:val="none"/>
        </w:rPr>
        <w:t>×365</w:t>
      </w:r>
    </w:p>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其中，</w:t>
      </w:r>
      <m:oMath>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期末净值</m:t>
            </m:r>
            <m:ctrlPr>
              <w:rPr>
                <w:rFonts w:hint="eastAsia" w:ascii="Cambria Math" w:hAnsi="Cambria Math" w:eastAsia="仿宋" w:cs="仿宋"/>
                <w:i/>
                <w:szCs w:val="21"/>
                <w:highlight w:val="none"/>
              </w:rPr>
            </m:ctrlPr>
          </m:sub>
        </m:sSub>
      </m:oMath>
      <w:r>
        <w:rPr>
          <w:rFonts w:hint="eastAsia" w:ascii="仿宋" w:hAnsi="仿宋" w:eastAsia="仿宋" w:cs="仿宋"/>
          <w:kern w:val="0"/>
          <w:szCs w:val="21"/>
          <w:highlight w:val="none"/>
        </w:rPr>
        <w:t xml:space="preserve">表示当期投资周期期末浮动管理费计提前的单位净值，即投资周期终止日前一个工作日的浮动管理费计提前的理财产品净值， </w:t>
      </w:r>
      <m:oMath>
        <m:sSub>
          <m:sSubPr>
            <m:ctrlPr>
              <w:rPr>
                <w:rFonts w:hint="eastAsia" w:ascii="Cambria Math" w:hAnsi="Cambria Math" w:eastAsia="仿宋" w:cs="仿宋"/>
                <w:i/>
                <w:szCs w:val="21"/>
                <w:highlight w:val="none"/>
              </w:rPr>
            </m:ctrlPr>
          </m:sSubPr>
          <m:e>
            <m:r>
              <w:rPr>
                <w:rFonts w:hint="eastAsia" w:ascii="Cambria Math" w:hAnsi="Cambria Math" w:eastAsia="仿宋" w:cs="仿宋"/>
                <w:szCs w:val="21"/>
                <w:highlight w:val="none"/>
              </w:rPr>
              <m:t>P</m:t>
            </m:r>
            <m:ctrlPr>
              <w:rPr>
                <w:rFonts w:hint="eastAsia" w:ascii="Cambria Math" w:hAnsi="Cambria Math" w:eastAsia="仿宋" w:cs="仿宋"/>
                <w:i/>
                <w:szCs w:val="21"/>
                <w:highlight w:val="none"/>
              </w:rPr>
            </m:ctrlPr>
          </m:e>
          <m:sub>
            <m:r>
              <m:rPr>
                <m:sty m:val="p"/>
              </m:rPr>
              <w:rPr>
                <w:rFonts w:hint="eastAsia" w:ascii="Cambria Math" w:hAnsi="Cambria Math" w:eastAsia="仿宋" w:cs="仿宋"/>
                <w:szCs w:val="21"/>
                <w:highlight w:val="none"/>
              </w:rPr>
              <m:t>期初净值</m:t>
            </m:r>
            <m:ctrlPr>
              <w:rPr>
                <w:rFonts w:hint="eastAsia" w:ascii="Cambria Math" w:hAnsi="Cambria Math" w:eastAsia="仿宋" w:cs="仿宋"/>
                <w:i/>
                <w:szCs w:val="21"/>
                <w:highlight w:val="none"/>
              </w:rPr>
            </m:ctrlPr>
          </m:sub>
        </m:sSub>
      </m:oMath>
      <w:r>
        <w:rPr>
          <w:rFonts w:hint="eastAsia" w:ascii="仿宋" w:hAnsi="仿宋" w:eastAsia="仿宋" w:cs="仿宋"/>
          <w:kern w:val="0"/>
          <w:szCs w:val="21"/>
          <w:highlight w:val="none"/>
        </w:rPr>
        <w:t>表示当期投资周期的申购单位净值，即申购确认日前一个工作日的理财产品净值；D表示当期投资周期，即产品固定持有天数；</w:t>
      </w:r>
      <w:r>
        <w:rPr>
          <w:rFonts w:hint="eastAsia" w:ascii="仿宋" w:hAnsi="仿宋" w:eastAsia="仿宋" w:cs="仿宋"/>
          <w:kern w:val="0"/>
          <w:szCs w:val="21"/>
          <w:highlight w:val="none"/>
          <w:lang w:val="en-US" w:eastAsia="zh-CN"/>
        </w:rPr>
        <w:t>R</w:t>
      </w:r>
      <w:r>
        <w:rPr>
          <w:rFonts w:hint="eastAsia" w:ascii="仿宋" w:hAnsi="仿宋" w:eastAsia="仿宋" w:cs="仿宋"/>
          <w:kern w:val="0"/>
          <w:szCs w:val="21"/>
          <w:highlight w:val="none"/>
        </w:rPr>
        <w:t>表示当期份额确认日的年化业绩比较基准。</w:t>
      </w:r>
    </w:p>
    <w:p>
      <w:pPr>
        <w:spacing w:after="0" w:line="240" w:lineRule="auto"/>
        <w:jc w:val="left"/>
        <w:rPr>
          <w:rFonts w:hint="eastAsia" w:ascii="仿宋" w:hAnsi="仿宋" w:eastAsia="仿宋" w:cs="仿宋"/>
          <w:b/>
          <w:kern w:val="0"/>
          <w:szCs w:val="21"/>
          <w:highlight w:val="none"/>
        </w:rPr>
      </w:pPr>
      <w:r>
        <w:rPr>
          <w:rFonts w:hint="eastAsia" w:ascii="仿宋" w:hAnsi="仿宋" w:eastAsia="仿宋" w:cs="仿宋"/>
          <w:b/>
          <w:kern w:val="0"/>
          <w:szCs w:val="21"/>
          <w:highlight w:val="none"/>
        </w:rPr>
        <w:t>浮动管理费计提比例公式如下：</w:t>
      </w:r>
    </w:p>
    <w:tbl>
      <w:tblPr>
        <w:tblStyle w:val="5"/>
        <w:tblW w:w="59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4"/>
        <w:gridCol w:w="2044"/>
      </w:tblGrid>
      <w:tr>
        <w:tblPrEx>
          <w:tblLayout w:type="fixed"/>
          <w:tblCellMar>
            <w:top w:w="0" w:type="dxa"/>
            <w:left w:w="108" w:type="dxa"/>
            <w:bottom w:w="0" w:type="dxa"/>
            <w:right w:w="108" w:type="dxa"/>
          </w:tblCellMar>
        </w:tblPrEx>
        <w:trPr>
          <w:jc w:val="center"/>
        </w:trPr>
        <w:tc>
          <w:tcPr>
            <w:tcW w:w="3864" w:type="dxa"/>
          </w:tcPr>
          <w:p>
            <w:pPr>
              <w:spacing w:after="0" w:line="240" w:lineRule="auto"/>
              <w:jc w:val="left"/>
              <w:rPr>
                <w:rFonts w:hint="eastAsia" w:ascii="宋体" w:hAnsi="宋体" w:cs="宋体"/>
                <w:kern w:val="0"/>
                <w:sz w:val="15"/>
                <w:szCs w:val="15"/>
                <w:highlight w:val="none"/>
              </w:rPr>
            </w:pPr>
            <w:r>
              <w:rPr>
                <w:rFonts w:hint="eastAsia" w:ascii="宋体" w:hAnsi="宋体" w:cs="宋体"/>
                <w:kern w:val="0"/>
                <w:sz w:val="15"/>
                <w:szCs w:val="15"/>
                <w:highlight w:val="none"/>
              </w:rPr>
              <w:t>浮动管理费计提前的当日年化收益率</w:t>
            </w:r>
          </w:p>
        </w:tc>
        <w:tc>
          <w:tcPr>
            <w:tcW w:w="2044" w:type="dxa"/>
          </w:tcPr>
          <w:p>
            <w:pPr>
              <w:spacing w:after="0" w:line="240" w:lineRule="auto"/>
              <w:jc w:val="left"/>
              <w:rPr>
                <w:rFonts w:hint="eastAsia" w:ascii="宋体" w:hAnsi="宋体" w:cs="宋体"/>
                <w:kern w:val="0"/>
                <w:sz w:val="15"/>
                <w:szCs w:val="15"/>
                <w:highlight w:val="none"/>
              </w:rPr>
            </w:pPr>
            <w:r>
              <w:rPr>
                <w:rFonts w:hint="eastAsia" w:ascii="宋体" w:hAnsi="宋体" w:cs="宋体"/>
                <w:kern w:val="0"/>
                <w:sz w:val="15"/>
                <w:szCs w:val="15"/>
                <w:highlight w:val="none"/>
              </w:rPr>
              <w:t>浮动管理费（I）</w:t>
            </w:r>
          </w:p>
        </w:tc>
      </w:tr>
      <w:tr>
        <w:tblPrEx>
          <w:tblLayout w:type="fixed"/>
          <w:tblCellMar>
            <w:top w:w="0" w:type="dxa"/>
            <w:left w:w="108" w:type="dxa"/>
            <w:bottom w:w="0" w:type="dxa"/>
            <w:right w:w="108" w:type="dxa"/>
          </w:tblCellMar>
        </w:tblPrEx>
        <w:trPr>
          <w:jc w:val="center"/>
        </w:trPr>
        <w:tc>
          <w:tcPr>
            <w:tcW w:w="3864" w:type="dxa"/>
            <w:vAlign w:val="top"/>
          </w:tcPr>
          <w:p>
            <w:pPr>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R≤</w:t>
            </w:r>
            <w:r>
              <w:rPr>
                <w:rFonts w:hint="eastAsia" w:ascii="仿宋" w:hAnsi="仿宋" w:eastAsia="仿宋" w:cs="仿宋"/>
                <w:kern w:val="0"/>
                <w:szCs w:val="21"/>
                <w:highlight w:val="none"/>
                <w:lang w:val="en-US" w:eastAsia="zh-CN"/>
              </w:rPr>
              <w:t>c</w:t>
            </w:r>
          </w:p>
        </w:tc>
        <w:tc>
          <w:tcPr>
            <w:tcW w:w="2044" w:type="dxa"/>
            <w:vAlign w:val="top"/>
          </w:tcPr>
          <w:p>
            <w:pPr>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I=</w:t>
            </w:r>
            <w:r>
              <w:rPr>
                <w:rFonts w:hint="eastAsia" w:ascii="仿宋" w:hAnsi="仿宋" w:eastAsia="仿宋" w:cs="仿宋"/>
                <w:kern w:val="0"/>
                <w:szCs w:val="21"/>
                <w:highlight w:val="none"/>
              </w:rPr>
              <w:t>0</w:t>
            </w:r>
          </w:p>
        </w:tc>
      </w:tr>
      <w:tr>
        <w:tblPrEx>
          <w:tblLayout w:type="fixed"/>
          <w:tblCellMar>
            <w:top w:w="0" w:type="dxa"/>
            <w:left w:w="108" w:type="dxa"/>
            <w:bottom w:w="0" w:type="dxa"/>
            <w:right w:w="108" w:type="dxa"/>
          </w:tblCellMar>
        </w:tblPrEx>
        <w:trPr>
          <w:jc w:val="center"/>
        </w:trPr>
        <w:tc>
          <w:tcPr>
            <w:tcW w:w="3864" w:type="dxa"/>
            <w:vAlign w:val="top"/>
          </w:tcPr>
          <w:p>
            <w:pPr>
              <w:jc w:val="left"/>
              <w:rPr>
                <w:rFonts w:hint="eastAsia" w:ascii="仿宋" w:hAnsi="仿宋" w:eastAsia="仿宋" w:cs="仿宋"/>
                <w:kern w:val="0"/>
                <w:szCs w:val="21"/>
                <w:highlight w:val="none"/>
              </w:rPr>
            </w:pPr>
            <w:r>
              <w:rPr>
                <w:rFonts w:hint="eastAsia" w:ascii="仿宋" w:hAnsi="仿宋" w:eastAsia="仿宋" w:cs="仿宋"/>
                <w:kern w:val="0"/>
                <w:szCs w:val="21"/>
                <w:highlight w:val="none"/>
                <w:lang w:val="en-US" w:eastAsia="zh-CN"/>
              </w:rPr>
              <w:t>c</w:t>
            </w: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1</w:t>
            </w:r>
            <w:r>
              <w:rPr>
                <w:rFonts w:hint="eastAsia" w:ascii="仿宋" w:hAnsi="仿宋" w:eastAsia="仿宋" w:cs="仿宋"/>
                <w:kern w:val="0"/>
                <w:szCs w:val="21"/>
                <w:highlight w:val="none"/>
              </w:rPr>
              <w:t>≤</w:t>
            </w:r>
            <w:r>
              <w:rPr>
                <w:rFonts w:hint="eastAsia" w:ascii="仿宋" w:hAnsi="仿宋" w:eastAsia="仿宋" w:cs="仿宋"/>
                <w:kern w:val="0"/>
                <w:szCs w:val="21"/>
                <w:highlight w:val="none"/>
                <w:lang w:val="en-US" w:eastAsia="zh-CN"/>
              </w:rPr>
              <w:t>d</w:t>
            </w:r>
          </w:p>
        </w:tc>
        <w:tc>
          <w:tcPr>
            <w:tcW w:w="2044" w:type="dxa"/>
            <w:vAlign w:val="top"/>
          </w:tcPr>
          <w:p>
            <w:pPr>
              <w:jc w:val="left"/>
              <w:rPr>
                <w:rFonts w:hint="eastAsia" w:ascii="仿宋" w:hAnsi="仿宋" w:eastAsia="仿宋" w:cs="仿宋"/>
                <w:kern w:val="0"/>
                <w:szCs w:val="21"/>
                <w:highlight w:val="none"/>
              </w:rPr>
            </w:pPr>
            <w:r>
              <w:rPr>
                <w:rFonts w:hint="eastAsia" w:ascii="仿宋" w:hAnsi="仿宋" w:eastAsia="仿宋" w:cs="仿宋"/>
                <w:color w:val="000000"/>
                <w:kern w:val="0"/>
                <w:szCs w:val="21"/>
                <w:highlight w:val="none"/>
              </w:rPr>
              <w:t>I</w:t>
            </w:r>
            <w:r>
              <w:rPr>
                <w:rFonts w:hint="eastAsia" w:ascii="仿宋" w:hAnsi="仿宋" w:eastAsia="仿宋" w:cs="仿宋"/>
                <w:color w:val="000000"/>
                <w:kern w:val="0"/>
                <w:szCs w:val="21"/>
                <w:highlight w:val="none"/>
                <w:vertAlign w:val="subscript"/>
              </w:rPr>
              <w:t>1</w:t>
            </w: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1</w:t>
            </w:r>
            <w:r>
              <w:rPr>
                <w:rFonts w:hint="eastAsia" w:ascii="仿宋" w:hAnsi="仿宋" w:eastAsia="仿宋" w:cs="仿宋"/>
                <w:kern w:val="0"/>
                <w:szCs w:val="21"/>
                <w:highlight w:val="none"/>
              </w:rPr>
              <w:t>-</w:t>
            </w:r>
            <w:r>
              <w:rPr>
                <w:rFonts w:hint="eastAsia" w:ascii="仿宋" w:hAnsi="仿宋" w:eastAsia="仿宋" w:cs="仿宋"/>
                <w:kern w:val="0"/>
                <w:szCs w:val="21"/>
                <w:highlight w:val="none"/>
                <w:lang w:val="en-US" w:eastAsia="zh-CN"/>
              </w:rPr>
              <w:t>c</w:t>
            </w:r>
            <w:r>
              <w:rPr>
                <w:rFonts w:hint="eastAsia" w:ascii="仿宋" w:hAnsi="仿宋" w:eastAsia="仿宋" w:cs="仿宋"/>
                <w:kern w:val="0"/>
                <w:szCs w:val="21"/>
                <w:highlight w:val="none"/>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864" w:type="dxa"/>
            <w:vAlign w:val="top"/>
          </w:tcPr>
          <w:p>
            <w:pPr>
              <w:jc w:val="left"/>
              <w:rPr>
                <w:rFonts w:hint="eastAsia" w:ascii="仿宋" w:hAnsi="仿宋" w:eastAsia="仿宋" w:cs="仿宋"/>
                <w:kern w:val="0"/>
                <w:szCs w:val="21"/>
                <w:highlight w:val="none"/>
              </w:rPr>
            </w:pPr>
            <w:r>
              <w:rPr>
                <w:rFonts w:hint="eastAsia" w:ascii="仿宋" w:hAnsi="仿宋" w:eastAsia="仿宋" w:cs="仿宋"/>
                <w:kern w:val="0"/>
                <w:szCs w:val="21"/>
                <w:highlight w:val="none"/>
                <w:lang w:val="en-US" w:eastAsia="zh-CN"/>
              </w:rPr>
              <w:t>d</w:t>
            </w: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2</w:t>
            </w:r>
          </w:p>
        </w:tc>
        <w:tc>
          <w:tcPr>
            <w:tcW w:w="2044" w:type="dxa"/>
            <w:vAlign w:val="top"/>
          </w:tcPr>
          <w:p>
            <w:pPr>
              <w:jc w:val="left"/>
              <w:rPr>
                <w:rFonts w:hint="eastAsia" w:ascii="仿宋" w:hAnsi="仿宋" w:eastAsia="仿宋" w:cs="仿宋"/>
                <w:kern w:val="0"/>
                <w:szCs w:val="21"/>
                <w:highlight w:val="none"/>
              </w:rPr>
            </w:pPr>
            <w:r>
              <w:rPr>
                <w:rFonts w:hint="eastAsia" w:ascii="仿宋" w:hAnsi="仿宋" w:eastAsia="仿宋" w:cs="仿宋"/>
                <w:color w:val="000000"/>
                <w:kern w:val="0"/>
                <w:szCs w:val="21"/>
                <w:highlight w:val="none"/>
              </w:rPr>
              <w:t>I</w:t>
            </w:r>
            <w:r>
              <w:rPr>
                <w:rFonts w:hint="eastAsia" w:ascii="仿宋" w:hAnsi="仿宋" w:eastAsia="仿宋" w:cs="仿宋"/>
                <w:color w:val="000000"/>
                <w:kern w:val="0"/>
                <w:szCs w:val="21"/>
                <w:highlight w:val="none"/>
                <w:vertAlign w:val="subscript"/>
              </w:rPr>
              <w:t>2</w:t>
            </w: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2</w:t>
            </w:r>
            <w:r>
              <w:rPr>
                <w:rFonts w:hint="eastAsia" w:ascii="仿宋" w:hAnsi="仿宋" w:eastAsia="仿宋" w:cs="仿宋"/>
                <w:kern w:val="0"/>
                <w:szCs w:val="21"/>
                <w:highlight w:val="none"/>
              </w:rPr>
              <w:t>-</w:t>
            </w:r>
            <w:r>
              <w:rPr>
                <w:rFonts w:hint="eastAsia" w:ascii="仿宋" w:hAnsi="仿宋" w:eastAsia="仿宋" w:cs="仿宋"/>
                <w:kern w:val="0"/>
                <w:szCs w:val="21"/>
                <w:highlight w:val="none"/>
                <w:lang w:val="en-US" w:eastAsia="zh-CN"/>
              </w:rPr>
              <w:t>d</w:t>
            </w:r>
            <w:r>
              <w:rPr>
                <w:rFonts w:hint="eastAsia" w:ascii="仿宋" w:hAnsi="仿宋" w:eastAsia="仿宋" w:cs="仿宋"/>
                <w:kern w:val="0"/>
                <w:szCs w:val="21"/>
                <w:highlight w:val="none"/>
              </w:rPr>
              <w:t>)×80%</w:t>
            </w:r>
          </w:p>
        </w:tc>
      </w:tr>
    </w:tbl>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其中，I表示计提的浮动管理费比例，计提方式采用超额累进方式，例如当R=3%，</w:t>
      </w:r>
      <w:r>
        <w:rPr>
          <w:rFonts w:hint="eastAsia" w:ascii="仿宋" w:hAnsi="仿宋" w:eastAsia="仿宋" w:cs="仿宋"/>
          <w:kern w:val="0"/>
          <w:szCs w:val="21"/>
          <w:highlight w:val="none"/>
          <w:lang w:val="en-US" w:eastAsia="zh-CN"/>
        </w:rPr>
        <w:t>c</w:t>
      </w:r>
      <w:r>
        <w:rPr>
          <w:rFonts w:hint="eastAsia" w:ascii="仿宋" w:hAnsi="仿宋" w:eastAsia="仿宋" w:cs="仿宋"/>
          <w:kern w:val="0"/>
          <w:szCs w:val="21"/>
          <w:highlight w:val="none"/>
        </w:rPr>
        <w:t>=2%，</w:t>
      </w:r>
      <w:r>
        <w:rPr>
          <w:rFonts w:hint="eastAsia" w:ascii="仿宋" w:hAnsi="仿宋" w:eastAsia="仿宋" w:cs="仿宋"/>
          <w:kern w:val="0"/>
          <w:szCs w:val="21"/>
          <w:highlight w:val="none"/>
          <w:lang w:val="en-US" w:eastAsia="zh-CN"/>
        </w:rPr>
        <w:t>d</w:t>
      </w:r>
      <w:r>
        <w:rPr>
          <w:rFonts w:hint="eastAsia" w:ascii="仿宋" w:hAnsi="仿宋" w:eastAsia="仿宋" w:cs="仿宋"/>
          <w:kern w:val="0"/>
          <w:szCs w:val="21"/>
          <w:highlight w:val="none"/>
        </w:rPr>
        <w:t>=2.5%,则江阴农商银行收取的浮动管理费比例为I=</w:t>
      </w:r>
      <w:r>
        <w:rPr>
          <w:rFonts w:hint="eastAsia" w:ascii="仿宋" w:hAnsi="仿宋" w:eastAsia="仿宋" w:cs="仿宋"/>
          <w:color w:val="000000"/>
          <w:kern w:val="0"/>
          <w:szCs w:val="21"/>
          <w:highlight w:val="none"/>
        </w:rPr>
        <w:t>I</w:t>
      </w:r>
      <w:r>
        <w:rPr>
          <w:rFonts w:hint="eastAsia" w:ascii="仿宋" w:hAnsi="仿宋" w:eastAsia="仿宋" w:cs="仿宋"/>
          <w:color w:val="000000"/>
          <w:kern w:val="0"/>
          <w:szCs w:val="21"/>
          <w:highlight w:val="none"/>
          <w:vertAlign w:val="subscript"/>
        </w:rPr>
        <w:t>1</w:t>
      </w:r>
      <w:r>
        <w:rPr>
          <w:rFonts w:hint="eastAsia" w:ascii="仿宋" w:hAnsi="仿宋" w:eastAsia="仿宋" w:cs="仿宋"/>
          <w:color w:val="000000"/>
          <w:kern w:val="0"/>
          <w:szCs w:val="21"/>
          <w:highlight w:val="none"/>
        </w:rPr>
        <w:t>+</w:t>
      </w:r>
      <w:r>
        <w:rPr>
          <w:rFonts w:hint="eastAsia" w:ascii="仿宋" w:hAnsi="仿宋" w:eastAsia="仿宋" w:cs="仿宋"/>
          <w:kern w:val="0"/>
          <w:szCs w:val="21"/>
          <w:highlight w:val="none"/>
        </w:rPr>
        <w:t>I</w:t>
      </w:r>
      <w:r>
        <w:rPr>
          <w:rFonts w:hint="eastAsia" w:ascii="仿宋" w:hAnsi="仿宋" w:eastAsia="仿宋" w:cs="仿宋"/>
          <w:kern w:val="0"/>
          <w:szCs w:val="21"/>
          <w:highlight w:val="none"/>
          <w:vertAlign w:val="subscript"/>
        </w:rPr>
        <w:t>2</w:t>
      </w:r>
      <w:r>
        <w:rPr>
          <w:rFonts w:hint="eastAsia" w:ascii="仿宋" w:hAnsi="仿宋" w:eastAsia="仿宋" w:cs="仿宋"/>
          <w:kern w:val="0"/>
          <w:szCs w:val="21"/>
          <w:highlight w:val="none"/>
        </w:rPr>
        <w:t>=0.</w:t>
      </w:r>
      <w:r>
        <w:rPr>
          <w:rFonts w:hint="eastAsia" w:ascii="仿宋" w:hAnsi="仿宋" w:eastAsia="仿宋" w:cs="仿宋"/>
          <w:kern w:val="0"/>
          <w:szCs w:val="21"/>
          <w:highlight w:val="none"/>
          <w:lang w:val="en-US" w:eastAsia="zh-CN"/>
        </w:rPr>
        <w:t>65</w:t>
      </w:r>
      <w:r>
        <w:rPr>
          <w:rFonts w:hint="eastAsia" w:ascii="仿宋" w:hAnsi="仿宋" w:eastAsia="仿宋" w:cs="仿宋"/>
          <w:kern w:val="0"/>
          <w:szCs w:val="21"/>
          <w:highlight w:val="none"/>
        </w:rPr>
        <w:t>%。</w:t>
      </w:r>
      <w:r>
        <w:rPr>
          <w:rFonts w:hint="eastAsia" w:asciiTheme="minorEastAsia" w:hAnsiTheme="minorEastAsia" w:cstheme="minorEastAsia"/>
          <w:kern w:val="0"/>
          <w:szCs w:val="21"/>
          <w:highlight w:val="none"/>
          <w:lang w:eastAsia="zh-CN"/>
        </w:rPr>
        <w:t>（</w:t>
      </w:r>
      <w:r>
        <w:rPr>
          <w:rFonts w:hint="eastAsia" w:asciiTheme="minorEastAsia" w:hAnsiTheme="minorEastAsia" w:cstheme="minorEastAsia"/>
          <w:kern w:val="0"/>
          <w:szCs w:val="21"/>
          <w:highlight w:val="none"/>
          <w:lang w:val="en-US" w:eastAsia="zh-CN"/>
        </w:rPr>
        <w:t>案例以具体产品的说明书为准</w:t>
      </w:r>
      <w:r>
        <w:rPr>
          <w:rFonts w:hint="eastAsia" w:asciiTheme="minorEastAsia" w:hAnsiTheme="minorEastAsia" w:cstheme="minorEastAsia"/>
          <w:kern w:val="0"/>
          <w:szCs w:val="21"/>
          <w:highlight w:val="none"/>
          <w:lang w:eastAsia="zh-CN"/>
        </w:rPr>
        <w:t>）</w:t>
      </w:r>
    </w:p>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R</w:t>
      </w:r>
      <w:r>
        <w:rPr>
          <w:rFonts w:hint="eastAsia" w:ascii="仿宋" w:hAnsi="仿宋" w:eastAsia="仿宋" w:cs="仿宋"/>
          <w:color w:val="000000"/>
          <w:kern w:val="0"/>
          <w:szCs w:val="21"/>
          <w:highlight w:val="none"/>
        </w:rPr>
        <w:t>情形下，</w:t>
      </w:r>
      <w:r>
        <w:rPr>
          <w:rFonts w:hint="eastAsia" w:ascii="仿宋" w:hAnsi="仿宋" w:eastAsia="仿宋" w:cs="仿宋"/>
          <w:kern w:val="0"/>
          <w:szCs w:val="21"/>
          <w:highlight w:val="none"/>
        </w:rPr>
        <w:t>不再计提浮动管理费</w:t>
      </w:r>
    </w:p>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1</w:t>
      </w:r>
      <w:r>
        <w:rPr>
          <w:rFonts w:hint="eastAsia" w:ascii="仿宋" w:hAnsi="仿宋" w:eastAsia="仿宋" w:cs="仿宋"/>
          <w:color w:val="000000"/>
          <w:kern w:val="0"/>
          <w:szCs w:val="21"/>
          <w:highlight w:val="none"/>
        </w:rPr>
        <w:t>情形下，</w:t>
      </w:r>
      <w:r>
        <w:rPr>
          <w:rFonts w:hint="eastAsia" w:ascii="仿宋" w:hAnsi="仿宋" w:eastAsia="仿宋" w:cs="仿宋"/>
          <w:kern w:val="0"/>
          <w:szCs w:val="21"/>
          <w:highlight w:val="none"/>
        </w:rPr>
        <w:t>浮动管理费=[当期超额报酬计提前净值-当期申购金额×（1+</w:t>
      </w:r>
      <w:r>
        <w:rPr>
          <w:rFonts w:hint="eastAsia" w:ascii="仿宋" w:hAnsi="仿宋" w:eastAsia="仿宋" w:cs="仿宋"/>
          <w:kern w:val="0"/>
          <w:szCs w:val="21"/>
          <w:highlight w:val="none"/>
          <w:lang w:val="en-US" w:eastAsia="zh-CN"/>
        </w:rPr>
        <w:t>c</w:t>
      </w:r>
      <w:r>
        <w:rPr>
          <w:rFonts w:hint="eastAsia" w:ascii="仿宋" w:hAnsi="仿宋" w:eastAsia="仿宋" w:cs="仿宋"/>
          <w:kern w:val="0"/>
          <w:szCs w:val="21"/>
          <w:highlight w:val="none"/>
        </w:rPr>
        <w:t>×D÷365）]×</w:t>
      </w:r>
      <w:r>
        <w:rPr>
          <w:rFonts w:hint="eastAsia" w:ascii="仿宋" w:hAnsi="仿宋" w:eastAsia="仿宋" w:cs="仿宋"/>
          <w:kern w:val="0"/>
          <w:szCs w:val="21"/>
          <w:highlight w:val="none"/>
          <w:lang w:val="en-US" w:eastAsia="zh-CN"/>
        </w:rPr>
        <w:t>5</w:t>
      </w:r>
      <w:r>
        <w:rPr>
          <w:rFonts w:hint="eastAsia" w:ascii="仿宋" w:hAnsi="仿宋" w:eastAsia="仿宋" w:cs="仿宋"/>
          <w:kern w:val="0"/>
          <w:szCs w:val="21"/>
          <w:highlight w:val="none"/>
        </w:rPr>
        <w:t>0%</w:t>
      </w:r>
    </w:p>
    <w:p>
      <w:pPr>
        <w:spacing w:after="0" w:line="240" w:lineRule="auto"/>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R</w:t>
      </w:r>
      <w:r>
        <w:rPr>
          <w:rFonts w:hint="eastAsia" w:ascii="仿宋" w:hAnsi="仿宋" w:eastAsia="仿宋" w:cs="仿宋"/>
          <w:kern w:val="0"/>
          <w:szCs w:val="21"/>
          <w:highlight w:val="none"/>
          <w:vertAlign w:val="subscript"/>
        </w:rPr>
        <w:t>2</w:t>
      </w:r>
      <w:r>
        <w:rPr>
          <w:rFonts w:hint="eastAsia" w:ascii="仿宋" w:hAnsi="仿宋" w:eastAsia="仿宋" w:cs="仿宋"/>
          <w:color w:val="000000"/>
          <w:kern w:val="0"/>
          <w:szCs w:val="21"/>
          <w:highlight w:val="none"/>
        </w:rPr>
        <w:t>情形下，</w:t>
      </w:r>
      <w:r>
        <w:rPr>
          <w:rFonts w:hint="eastAsia" w:ascii="仿宋" w:hAnsi="仿宋" w:eastAsia="仿宋" w:cs="仿宋"/>
          <w:kern w:val="0"/>
          <w:szCs w:val="21"/>
          <w:highlight w:val="none"/>
        </w:rPr>
        <w:t>浮动管理费=[当期超额报酬计提前净值-当期申购金额×（1+</w:t>
      </w:r>
      <w:r>
        <w:rPr>
          <w:rFonts w:hint="eastAsia" w:ascii="仿宋" w:hAnsi="仿宋" w:eastAsia="仿宋" w:cs="仿宋"/>
          <w:kern w:val="0"/>
          <w:szCs w:val="21"/>
          <w:highlight w:val="none"/>
          <w:lang w:val="en-US" w:eastAsia="zh-CN"/>
        </w:rPr>
        <w:t>d</w:t>
      </w:r>
      <w:r>
        <w:rPr>
          <w:rFonts w:hint="eastAsia" w:ascii="仿宋" w:hAnsi="仿宋" w:eastAsia="仿宋" w:cs="仿宋"/>
          <w:kern w:val="0"/>
          <w:szCs w:val="21"/>
          <w:highlight w:val="none"/>
        </w:rPr>
        <w:t>×D÷365)]×</w:t>
      </w:r>
      <w:r>
        <w:rPr>
          <w:rFonts w:hint="eastAsia" w:ascii="仿宋" w:hAnsi="仿宋" w:eastAsia="仿宋" w:cs="仿宋"/>
          <w:kern w:val="0"/>
          <w:szCs w:val="21"/>
          <w:highlight w:val="none"/>
          <w:lang w:val="en-US" w:eastAsia="zh-CN"/>
        </w:rPr>
        <w:t>8</w:t>
      </w:r>
      <w:r>
        <w:rPr>
          <w:rFonts w:hint="eastAsia" w:ascii="仿宋" w:hAnsi="仿宋" w:eastAsia="仿宋" w:cs="仿宋"/>
          <w:kern w:val="0"/>
          <w:szCs w:val="21"/>
          <w:highlight w:val="none"/>
        </w:rPr>
        <w:t>0%+[当期申购金额×（1+</w:t>
      </w:r>
      <w:r>
        <w:rPr>
          <w:rFonts w:hint="eastAsia" w:ascii="仿宋" w:hAnsi="仿宋" w:eastAsia="仿宋" w:cs="仿宋"/>
          <w:kern w:val="0"/>
          <w:szCs w:val="21"/>
          <w:highlight w:val="none"/>
          <w:lang w:val="en-US" w:eastAsia="zh-CN"/>
        </w:rPr>
        <w:t>d</w:t>
      </w:r>
      <w:r>
        <w:rPr>
          <w:rFonts w:hint="eastAsia" w:ascii="仿宋" w:hAnsi="仿宋" w:eastAsia="仿宋" w:cs="仿宋"/>
          <w:kern w:val="0"/>
          <w:szCs w:val="21"/>
          <w:highlight w:val="none"/>
        </w:rPr>
        <w:t>×D÷365)-当期申购金额×（1+</w:t>
      </w:r>
      <w:r>
        <w:rPr>
          <w:rFonts w:hint="eastAsia" w:ascii="仿宋" w:hAnsi="仿宋" w:eastAsia="仿宋" w:cs="仿宋"/>
          <w:kern w:val="0"/>
          <w:szCs w:val="21"/>
          <w:highlight w:val="none"/>
          <w:lang w:val="en-US" w:eastAsia="zh-CN"/>
        </w:rPr>
        <w:t>c</w:t>
      </w:r>
      <w:r>
        <w:rPr>
          <w:rFonts w:hint="eastAsia" w:ascii="仿宋" w:hAnsi="仿宋" w:eastAsia="仿宋" w:cs="仿宋"/>
          <w:kern w:val="0"/>
          <w:szCs w:val="21"/>
          <w:highlight w:val="none"/>
        </w:rPr>
        <w:t>×D÷365）]×</w:t>
      </w:r>
      <w:r>
        <w:rPr>
          <w:rFonts w:hint="eastAsia" w:ascii="仿宋" w:hAnsi="仿宋" w:eastAsia="仿宋" w:cs="仿宋"/>
          <w:kern w:val="0"/>
          <w:szCs w:val="21"/>
          <w:highlight w:val="none"/>
          <w:lang w:val="en-US" w:eastAsia="zh-CN"/>
        </w:rPr>
        <w:t>5</w:t>
      </w:r>
      <w:r>
        <w:rPr>
          <w:rFonts w:hint="eastAsia" w:ascii="仿宋" w:hAnsi="仿宋" w:eastAsia="仿宋" w:cs="仿宋"/>
          <w:kern w:val="0"/>
          <w:szCs w:val="21"/>
          <w:highlight w:val="none"/>
        </w:rPr>
        <w:t>0%</w:t>
      </w:r>
    </w:p>
    <w:p>
      <w:pPr>
        <w:spacing w:after="0" w:line="240" w:lineRule="auto"/>
        <w:rPr>
          <w:rFonts w:hint="eastAsia" w:ascii="仿宋" w:hAnsi="仿宋" w:eastAsia="仿宋" w:cs="仿宋"/>
          <w:kern w:val="0"/>
          <w:szCs w:val="21"/>
        </w:rPr>
      </w:pPr>
      <w:r>
        <w:rPr>
          <w:rFonts w:hint="eastAsia" w:ascii="仿宋" w:hAnsi="仿宋" w:eastAsia="仿宋" w:cs="仿宋"/>
          <w:kern w:val="0"/>
          <w:szCs w:val="21"/>
          <w:highlight w:val="none"/>
        </w:rPr>
        <w:t>江阴农商银行有权根据市场情况、产品运作情况对本产品的各项费用费率、年化业绩比较基准以及浮动管理费计提比例进行调整，并至少于调整日之前2个工作日进行公告。计算过程小数位取舍以管理人系统计算规则为准。</w:t>
      </w:r>
    </w:p>
    <w:p>
      <w:pPr>
        <w:ind w:firstLine="420"/>
        <w:rPr>
          <w:rFonts w:hint="eastAsia" w:cs="仿宋" w:asciiTheme="minorEastAsia" w:hAnsiTheme="minorEastAsia"/>
        </w:rPr>
      </w:pPr>
    </w:p>
    <w:p>
      <w:pPr>
        <w:ind w:firstLine="420"/>
        <w:rPr>
          <w:rFonts w:hint="eastAsia" w:cs="仿宋" w:asciiTheme="minorEastAsia" w:hAnsiTheme="minorEastAsia"/>
        </w:rPr>
      </w:pPr>
      <w:r>
        <w:rPr>
          <w:rFonts w:hint="eastAsia" w:cs="仿宋" w:asciiTheme="minorEastAsia" w:hAnsiTheme="minorEastAsia"/>
        </w:rPr>
        <w:t>以上条款调整要素于202</w:t>
      </w:r>
      <w:r>
        <w:rPr>
          <w:rFonts w:hint="eastAsia" w:cs="仿宋" w:asciiTheme="minorEastAsia" w:hAnsiTheme="minorEastAsia"/>
          <w:highlight w:val="none"/>
        </w:rPr>
        <w:t>6年</w:t>
      </w:r>
      <w:r>
        <w:rPr>
          <w:rFonts w:hint="eastAsia" w:cs="仿宋" w:asciiTheme="minorEastAsia" w:hAnsiTheme="minorEastAsia"/>
          <w:highlight w:val="none"/>
          <w:lang w:val="en-US" w:eastAsia="zh-CN"/>
        </w:rPr>
        <w:t>10</w:t>
      </w:r>
      <w:r>
        <w:rPr>
          <w:rFonts w:hint="eastAsia" w:cs="仿宋" w:asciiTheme="minorEastAsia" w:hAnsiTheme="minorEastAsia"/>
          <w:highlight w:val="none"/>
        </w:rPr>
        <w:t>月</w:t>
      </w:r>
      <w:r>
        <w:rPr>
          <w:rFonts w:hint="eastAsia" w:cs="仿宋" w:asciiTheme="minorEastAsia" w:hAnsiTheme="minorEastAsia"/>
          <w:highlight w:val="none"/>
          <w:lang w:val="en-US" w:eastAsia="zh-CN"/>
        </w:rPr>
        <w:t>9</w:t>
      </w:r>
      <w:r>
        <w:rPr>
          <w:rFonts w:hint="eastAsia" w:cs="仿宋" w:asciiTheme="minorEastAsia" w:hAnsiTheme="minorEastAsia"/>
        </w:rPr>
        <w:t>日生效，感谢您一直以来对江阴农商银行的支持！敬请继续关注江阴农商银行正在销售的其他理财产品。</w:t>
      </w:r>
    </w:p>
    <w:p>
      <w:pPr>
        <w:ind w:firstLine="420"/>
        <w:rPr>
          <w:rFonts w:hint="eastAsia" w:cs="仿宋" w:asciiTheme="minorEastAsia" w:hAnsiTheme="minorEastAsia"/>
        </w:rPr>
      </w:pPr>
      <w:r>
        <w:rPr>
          <w:rFonts w:hint="eastAsia" w:cs="仿宋" w:asciiTheme="minorEastAsia" w:hAnsiTheme="minorEastAsia"/>
        </w:rPr>
        <w:t>特此公告。</w:t>
      </w:r>
    </w:p>
    <w:p>
      <w:pPr>
        <w:ind w:firstLine="420"/>
        <w:rPr>
          <w:rFonts w:hint="eastAsia" w:cs="仿宋" w:asciiTheme="minorEastAsia" w:hAnsiTheme="minorEastAsia"/>
        </w:rPr>
      </w:pPr>
    </w:p>
    <w:p>
      <w:pPr>
        <w:ind w:firstLine="420"/>
        <w:jc w:val="right"/>
        <w:rPr>
          <w:rFonts w:hint="eastAsia" w:cs="仿宋" w:asciiTheme="minorEastAsia" w:hAnsiTheme="minorEastAsia"/>
          <w:highlight w:val="none"/>
        </w:rPr>
      </w:pPr>
      <w:r>
        <w:rPr>
          <w:rFonts w:hint="eastAsia" w:cs="仿宋" w:asciiTheme="minorEastAsia" w:hAnsiTheme="minorEastAsia"/>
        </w:rPr>
        <w:t>江苏江阴农村商业银</w:t>
      </w:r>
      <w:r>
        <w:rPr>
          <w:rFonts w:hint="eastAsia" w:cs="仿宋" w:asciiTheme="minorEastAsia" w:hAnsiTheme="minorEastAsia"/>
          <w:highlight w:val="none"/>
        </w:rPr>
        <w:t>行股份有限公司</w:t>
      </w:r>
    </w:p>
    <w:p>
      <w:pPr>
        <w:ind w:firstLine="420"/>
        <w:jc w:val="right"/>
        <w:rPr>
          <w:rFonts w:hint="eastAsia" w:cs="仿宋" w:asciiTheme="minorEastAsia" w:hAnsiTheme="minorEastAsia"/>
          <w:highlight w:val="none"/>
        </w:rPr>
      </w:pPr>
      <w:r>
        <w:rPr>
          <w:rFonts w:hint="eastAsia" w:cs="仿宋" w:asciiTheme="minorEastAsia" w:hAnsiTheme="minorEastAsia"/>
          <w:highlight w:val="none"/>
        </w:rPr>
        <w:t>2026年</w:t>
      </w:r>
      <w:r>
        <w:rPr>
          <w:rFonts w:hint="eastAsia" w:cs="仿宋" w:asciiTheme="minorEastAsia" w:hAnsiTheme="minorEastAsia"/>
          <w:highlight w:val="none"/>
          <w:lang w:val="en-US" w:eastAsia="zh-CN"/>
        </w:rPr>
        <w:t>9</w:t>
      </w:r>
      <w:r>
        <w:rPr>
          <w:rFonts w:hint="eastAsia" w:cs="仿宋" w:asciiTheme="minorEastAsia" w:hAnsiTheme="minorEastAsia"/>
          <w:highlight w:val="none"/>
        </w:rPr>
        <w:t>月</w:t>
      </w:r>
      <w:r>
        <w:rPr>
          <w:rFonts w:hint="eastAsia" w:cs="仿宋" w:asciiTheme="minorEastAsia" w:hAnsiTheme="minorEastAsia"/>
          <w:highlight w:val="none"/>
          <w:lang w:val="en-US" w:eastAsia="zh-CN"/>
        </w:rPr>
        <w:t>29</w:t>
      </w:r>
      <w:bookmarkStart w:id="0" w:name="_GoBack"/>
      <w:bookmarkEnd w:id="0"/>
      <w:r>
        <w:rPr>
          <w:rFonts w:hint="eastAsia" w:cs="仿宋" w:asciiTheme="minorEastAsia" w:hAnsiTheme="minorEastAsia"/>
          <w:highlight w:val="none"/>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宋体w泡..">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06EE5F"/>
    <w:multiLevelType w:val="singleLevel"/>
    <w:tmpl w:val="9806EE5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iZDA2ODQ2MTg4MDAyNTllYmMxZDZhMWIzNTVmNjEifQ=="/>
  </w:docVars>
  <w:rsids>
    <w:rsidRoot w:val="00172A27"/>
    <w:rsid w:val="00062CB3"/>
    <w:rsid w:val="0014155E"/>
    <w:rsid w:val="0016668F"/>
    <w:rsid w:val="00170A3F"/>
    <w:rsid w:val="00172A27"/>
    <w:rsid w:val="002174A2"/>
    <w:rsid w:val="002517DD"/>
    <w:rsid w:val="00253BB8"/>
    <w:rsid w:val="002B4D36"/>
    <w:rsid w:val="002E021D"/>
    <w:rsid w:val="002F4C7C"/>
    <w:rsid w:val="00372814"/>
    <w:rsid w:val="0040001C"/>
    <w:rsid w:val="004C4DD1"/>
    <w:rsid w:val="004F63B0"/>
    <w:rsid w:val="00546F75"/>
    <w:rsid w:val="00550B96"/>
    <w:rsid w:val="00555692"/>
    <w:rsid w:val="005716D2"/>
    <w:rsid w:val="0059158C"/>
    <w:rsid w:val="005A3473"/>
    <w:rsid w:val="005B0303"/>
    <w:rsid w:val="00606CC0"/>
    <w:rsid w:val="00633625"/>
    <w:rsid w:val="006F6340"/>
    <w:rsid w:val="00741F43"/>
    <w:rsid w:val="0075669F"/>
    <w:rsid w:val="007C19A8"/>
    <w:rsid w:val="008D37DF"/>
    <w:rsid w:val="008F011B"/>
    <w:rsid w:val="00932AFD"/>
    <w:rsid w:val="00A25F96"/>
    <w:rsid w:val="00A33A04"/>
    <w:rsid w:val="00A476D4"/>
    <w:rsid w:val="00A711EE"/>
    <w:rsid w:val="00A809BE"/>
    <w:rsid w:val="00AB46F4"/>
    <w:rsid w:val="00AB5CC8"/>
    <w:rsid w:val="00AB77E3"/>
    <w:rsid w:val="00AF0DA7"/>
    <w:rsid w:val="00B12641"/>
    <w:rsid w:val="00B97F58"/>
    <w:rsid w:val="00BF3C61"/>
    <w:rsid w:val="00C06BC4"/>
    <w:rsid w:val="00C56074"/>
    <w:rsid w:val="00C932A0"/>
    <w:rsid w:val="00D1709C"/>
    <w:rsid w:val="00E31DB4"/>
    <w:rsid w:val="00EA65A2"/>
    <w:rsid w:val="00EB156A"/>
    <w:rsid w:val="00EF1ACC"/>
    <w:rsid w:val="00F529E6"/>
    <w:rsid w:val="00FA6F28"/>
    <w:rsid w:val="0410568E"/>
    <w:rsid w:val="0A5376E7"/>
    <w:rsid w:val="0B2833B7"/>
    <w:rsid w:val="0BA92767"/>
    <w:rsid w:val="0E9B4151"/>
    <w:rsid w:val="0F47538B"/>
    <w:rsid w:val="0FA26299"/>
    <w:rsid w:val="106C6D2E"/>
    <w:rsid w:val="108968D5"/>
    <w:rsid w:val="10F12FE6"/>
    <w:rsid w:val="1206598F"/>
    <w:rsid w:val="148D08EF"/>
    <w:rsid w:val="1968576C"/>
    <w:rsid w:val="1DE958DB"/>
    <w:rsid w:val="1E7F643D"/>
    <w:rsid w:val="242F2549"/>
    <w:rsid w:val="26910B48"/>
    <w:rsid w:val="298155FD"/>
    <w:rsid w:val="29E47A53"/>
    <w:rsid w:val="2ADE635F"/>
    <w:rsid w:val="2ED877ED"/>
    <w:rsid w:val="2FAB2614"/>
    <w:rsid w:val="330C1A04"/>
    <w:rsid w:val="36F3333E"/>
    <w:rsid w:val="37386FA5"/>
    <w:rsid w:val="3FD84DF4"/>
    <w:rsid w:val="41295CD6"/>
    <w:rsid w:val="42900ED8"/>
    <w:rsid w:val="4742679B"/>
    <w:rsid w:val="4D88244A"/>
    <w:rsid w:val="4E3C1D70"/>
    <w:rsid w:val="4ECF136B"/>
    <w:rsid w:val="4F7330AD"/>
    <w:rsid w:val="51226F3A"/>
    <w:rsid w:val="58303009"/>
    <w:rsid w:val="597A66E5"/>
    <w:rsid w:val="5AE6200F"/>
    <w:rsid w:val="601D3D27"/>
    <w:rsid w:val="617D5605"/>
    <w:rsid w:val="620221AB"/>
    <w:rsid w:val="64920748"/>
    <w:rsid w:val="686A5863"/>
    <w:rsid w:val="696D7E3D"/>
    <w:rsid w:val="6B217298"/>
    <w:rsid w:val="6C9457EE"/>
    <w:rsid w:val="6CD50C77"/>
    <w:rsid w:val="6D016141"/>
    <w:rsid w:val="6E114FB9"/>
    <w:rsid w:val="6EA513EB"/>
    <w:rsid w:val="71505F01"/>
    <w:rsid w:val="739B6273"/>
    <w:rsid w:val="73EA2E81"/>
    <w:rsid w:val="76F20546"/>
    <w:rsid w:val="7B0933FD"/>
    <w:rsid w:val="7B4F217D"/>
    <w:rsid w:val="7C0E7675"/>
    <w:rsid w:val="7E3B0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0"/>
      <w:szCs w:val="20"/>
      <w:lang w:eastAsia="en-US"/>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
    <w:name w:val="Table Text"/>
    <w:basedOn w:val="1"/>
    <w:semiHidden/>
    <w:qFormat/>
    <w:uiPriority w:val="0"/>
    <w:rPr>
      <w:rFonts w:ascii="仿宋" w:hAnsi="仿宋" w:eastAsia="仿宋" w:cs="仿宋"/>
      <w:sz w:val="20"/>
      <w:szCs w:val="20"/>
      <w:lang w:eastAsia="en-US"/>
    </w:rPr>
  </w:style>
  <w:style w:type="table" w:customStyle="1" w:styleId="9">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874</Words>
  <Characters>927</Characters>
  <Lines>40</Lines>
  <Paragraphs>37</Paragraphs>
  <TotalTime>0</TotalTime>
  <ScaleCrop>false</ScaleCrop>
  <LinksUpToDate>false</LinksUpToDate>
  <CharactersWithSpaces>1764</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2024-03-14T06:43:00Z</dcterms:created>
  <dc:creator>admin</dc:creator>
  <cp:lastModifiedBy>admin</cp:lastModifiedBy>
  <dcterms:modified xsi:type="dcterms:W3CDTF">2026-09-29T00:36:36Z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8BB0D02FE8EB4ABF87E30264F12799C0_12</vt:lpwstr>
  </property>
</Properties>
</file>