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cs="仿宋" w:asciiTheme="minorEastAsia" w:hAnsiTheme="minorEastAsia"/>
        </w:rPr>
      </w:pPr>
      <w:r>
        <w:rPr>
          <w:rFonts w:hint="eastAsia" w:cs="仿宋" w:asciiTheme="minorEastAsia" w:hAnsiTheme="minorEastAsia"/>
        </w:rPr>
        <w:t>尊敬的客户：</w:t>
      </w:r>
    </w:p>
    <w:p>
      <w:pPr>
        <w:ind w:firstLine="420"/>
        <w:rPr>
          <w:rFonts w:hint="eastAsia" w:cs="仿宋" w:asciiTheme="minorEastAsia" w:hAnsiTheme="minorEastAsia"/>
        </w:rPr>
      </w:pPr>
      <w:r>
        <w:rPr>
          <w:rFonts w:hint="eastAsia" w:cs="仿宋" w:asciiTheme="minorEastAsia" w:hAnsiTheme="minorEastAsia"/>
        </w:rPr>
        <w:t>我行决定对芙蓉宝净值型人民币理财产品（产品登记编码：C1114719000003）（产品代码【B19000101X】）、芙蓉·长红净值型人民币理财产品（产品登记编码：C1114720000001）（产品代码【C20000101X】）、芙蓉·周周发净值型人民币理财产品（产品登记编码：C1114721000006）A类份额（产品代码【Z210Q0101】）、B类份额（产品代码【Z210Q0101B】）、芙蓉·季开鑫2号3个月定开净值型人民币理财产品（产品登记编码：C1114721000005）（产品代码【J210302】）、芙蓉·半年赢2号6个月定开净值型人民币理财产品（产品登记编码：C1114721000004）（产品代码【W210602】）、芙蓉·年年花开一年定开净值型人民币理财产品（产品登记编码：C1114721000003）（产品代码【K211201】）、芙蓉·多策略固收增强18个月定开净值型人民币理财产品（产品登记编码：C1114721000007）（产品代码【Q211801】）、芙蓉·双年荟萃5号两年定开净值型人民币理财产品（产品登记编码：C1114721000008）（产品代码【S212405】）、芙蓉·花开富贵30个月净值型人民币理财产品（产品登记编码：C1114723000001）（产品代码【G233001】）、芙蓉·三阳开泰2号三年定开净值型人民币理财产品（产品登记编码：C1114721000009）（产品代码【Y213602】）、芙蓉·年稳赢一年定开净值型人民币理财产品（产品登记编码：C1114725000001）（产品代码【N251201】）、芙蓉·年稳赢2号一年定开净值型人民币理财产品（产品</w:t>
      </w:r>
      <w:r>
        <w:rPr>
          <w:rFonts w:hint="eastAsia" w:cs="仿宋" w:asciiTheme="minorEastAsia" w:hAnsiTheme="minorEastAsia"/>
          <w:highlight w:val="none"/>
        </w:rPr>
        <w:t>登记编码：C1114725000002）（产品代码【N251202】）、芙蓉尊享·稳健三年封闭式1期净值型人民币理财产品（产品登记编码</w:t>
      </w:r>
      <w:r>
        <w:rPr>
          <w:rFonts w:hint="eastAsia" w:cs="仿宋" w:asciiTheme="minorEastAsia" w:hAnsiTheme="minorEastAsia"/>
          <w:highlight w:val="none"/>
          <w:lang w:eastAsia="zh-CN"/>
        </w:rPr>
        <w:t>：</w:t>
      </w:r>
      <w:r>
        <w:rPr>
          <w:rFonts w:hint="eastAsia" w:cs="仿宋" w:asciiTheme="minorEastAsia" w:hAnsiTheme="minorEastAsia"/>
          <w:highlight w:val="none"/>
        </w:rPr>
        <w:t>C</w:t>
      </w:r>
      <w:r>
        <w:rPr>
          <w:rFonts w:hint="eastAsia" w:cs="仿宋" w:asciiTheme="minorEastAsia" w:hAnsiTheme="minorEastAsia"/>
        </w:rPr>
        <w:t>1114723A000001）（产品代码【SF233601】）、芙蓉·增益一年定开净值型人民币理财产品（产品登记编码</w:t>
      </w:r>
      <w:r>
        <w:rPr>
          <w:rFonts w:hint="eastAsia" w:cs="仿宋" w:asciiTheme="minorEastAsia" w:hAnsiTheme="minorEastAsia"/>
          <w:lang w:eastAsia="zh-CN"/>
        </w:rPr>
        <w:t>：C1114725000003</w:t>
      </w:r>
      <w:r>
        <w:rPr>
          <w:rFonts w:hint="eastAsia" w:cs="仿宋" w:asciiTheme="minorEastAsia" w:hAnsiTheme="minorEastAsia"/>
        </w:rPr>
        <w:t>）（产品代码【Z251201】）、芙蓉·增益两年定开净值型人民币理财产品（产品登记编码</w:t>
      </w:r>
      <w:r>
        <w:rPr>
          <w:rFonts w:hint="eastAsia" w:cs="仿宋" w:asciiTheme="minorEastAsia" w:hAnsiTheme="minorEastAsia"/>
          <w:lang w:eastAsia="zh-CN"/>
        </w:rPr>
        <w:t>：C1114725000004</w:t>
      </w:r>
      <w:r>
        <w:rPr>
          <w:rFonts w:hint="eastAsia" w:cs="仿宋" w:asciiTheme="minorEastAsia" w:hAnsiTheme="minorEastAsia"/>
        </w:rPr>
        <w:t>）（产品代码【Z252401】）、芙蓉·增益三年定开净值型人民币理财产品（产品登记编码</w:t>
      </w:r>
      <w:r>
        <w:rPr>
          <w:rFonts w:hint="eastAsia" w:cs="仿宋" w:asciiTheme="minorEastAsia" w:hAnsiTheme="minorEastAsia"/>
          <w:lang w:eastAsia="zh-CN"/>
        </w:rPr>
        <w:t>：C1114725000005</w:t>
      </w:r>
      <w:r>
        <w:rPr>
          <w:rFonts w:hint="eastAsia" w:cs="仿宋" w:asciiTheme="minorEastAsia" w:hAnsiTheme="minorEastAsia"/>
        </w:rPr>
        <w:t>）（产品代码【Z253601】）、芙蓉·增益五年定开净值型人民币理财产品（产品登记编码</w:t>
      </w:r>
      <w:r>
        <w:rPr>
          <w:rFonts w:hint="eastAsia" w:cs="仿宋" w:asciiTheme="minorEastAsia" w:hAnsiTheme="minorEastAsia"/>
          <w:lang w:eastAsia="zh-CN"/>
        </w:rPr>
        <w:t>：C1114725000006</w:t>
      </w:r>
      <w:r>
        <w:rPr>
          <w:rFonts w:hint="eastAsia" w:cs="仿宋" w:asciiTheme="minorEastAsia" w:hAnsiTheme="minorEastAsia"/>
        </w:rPr>
        <w:t>）（产品代码【Z256001】）产品要素进行调整，具体内容如下：</w:t>
      </w:r>
    </w:p>
    <w:p>
      <w:pPr>
        <w:ind w:firstLine="42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1、芙蓉宝净值型人民币理财产品</w:t>
      </w:r>
    </w:p>
    <w:tbl>
      <w:tblPr>
        <w:tblStyle w:val="6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694"/>
        <w:gridCol w:w="5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rPr>
                <w:rFonts w:hint="eastAsia" w:cs="黑体"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15"/>
                <w:szCs w:val="15"/>
              </w:rPr>
              <w:t>产品要素</w:t>
            </w:r>
          </w:p>
        </w:tc>
        <w:tc>
          <w:tcPr>
            <w:tcW w:w="2694" w:type="dxa"/>
            <w:vAlign w:val="center"/>
          </w:tcPr>
          <w:p>
            <w:pPr>
              <w:rPr>
                <w:rFonts w:hint="eastAsia" w:cs="黑体"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15"/>
                <w:szCs w:val="15"/>
              </w:rPr>
              <w:t>调整前</w:t>
            </w:r>
          </w:p>
        </w:tc>
        <w:tc>
          <w:tcPr>
            <w:tcW w:w="5244" w:type="dxa"/>
            <w:vAlign w:val="center"/>
          </w:tcPr>
          <w:p>
            <w:pPr>
              <w:rPr>
                <w:rFonts w:hint="eastAsia" w:cs="黑体"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15"/>
                <w:szCs w:val="15"/>
              </w:rPr>
              <w:t>调整后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675" w:type="dxa"/>
            <w:vAlign w:val="center"/>
          </w:tcPr>
          <w:p>
            <w:pPr>
              <w:rPr>
                <w:rFonts w:cs="Times New Roman"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8"/>
                <w:sz w:val="15"/>
                <w:szCs w:val="15"/>
              </w:rPr>
              <w:t>拟投资市场、资产的流动性风险评估</w:t>
            </w:r>
          </w:p>
        </w:tc>
        <w:tc>
          <w:tcPr>
            <w:tcW w:w="2694" w:type="dxa"/>
            <w:vAlign w:val="center"/>
          </w:tcPr>
          <w:p>
            <w:pPr>
              <w:pStyle w:val="2"/>
              <w:spacing w:before="65" w:line="276" w:lineRule="auto"/>
              <w:ind w:left="45" w:right="397" w:hanging="3"/>
              <w:rPr>
                <w:rFonts w:cs="Times New Roman" w:asciiTheme="minorEastAsia" w:hAnsiTheme="minorEastAsia" w:eastAsiaTheme="minorEastAsia"/>
                <w:sz w:val="15"/>
                <w:szCs w:val="15"/>
                <w:lang w:eastAsia="zh-CN"/>
              </w:rPr>
            </w:pPr>
            <w:r>
              <w:rPr>
                <w:rFonts w:asciiTheme="minorEastAsia" w:hAnsiTheme="minorEastAsia" w:eastAsiaTheme="minorEastAsia"/>
                <w:spacing w:val="7"/>
                <w:sz w:val="15"/>
                <w:szCs w:val="15"/>
                <w:lang w:eastAsia="zh-CN"/>
              </w:rPr>
              <w:t>投资于标准化固收类的可能流动性风险：各类债券、存款、货币基金、债券基金、质押式及买断式回购等标准化资产具体规范的交易场所，市场透明度较高，运作方式规范，可支持产</w:t>
            </w:r>
            <w:r>
              <w:rPr>
                <w:rFonts w:asciiTheme="minorEastAsia" w:hAnsiTheme="minorEastAsia" w:eastAsiaTheme="minorEastAsia"/>
                <w:spacing w:val="8"/>
                <w:sz w:val="15"/>
                <w:szCs w:val="15"/>
                <w:lang w:eastAsia="zh-CN"/>
              </w:rPr>
              <w:t>品的投资和应对日常申赎的需要。上述资产受限于市场交易活跃度，或当出现风险事件后，</w:t>
            </w:r>
            <w:r>
              <w:rPr>
                <w:rFonts w:asciiTheme="minorEastAsia" w:hAnsiTheme="minorEastAsia" w:eastAsiaTheme="minorEastAsia"/>
                <w:spacing w:val="7"/>
                <w:sz w:val="15"/>
                <w:szCs w:val="15"/>
                <w:lang w:eastAsia="zh-CN"/>
              </w:rPr>
              <w:t>可能会难以以合理价格变现，同时市场资金面紧张也可能降低市场参与者的交易意愿，进而</w:t>
            </w:r>
            <w:r>
              <w:rPr>
                <w:rFonts w:asciiTheme="minorEastAsia" w:hAnsiTheme="minorEastAsia" w:eastAsiaTheme="minorEastAsia"/>
                <w:spacing w:val="6"/>
                <w:sz w:val="15"/>
                <w:szCs w:val="15"/>
                <w:lang w:eastAsia="zh-CN"/>
              </w:rPr>
              <w:t>带来流动性风险。</w:t>
            </w:r>
          </w:p>
        </w:tc>
        <w:tc>
          <w:tcPr>
            <w:tcW w:w="5244" w:type="dxa"/>
            <w:vAlign w:val="center"/>
          </w:tcPr>
          <w:p>
            <w:pPr>
              <w:spacing w:before="156" w:beforeLines="50" w:after="156" w:afterLines="50"/>
              <w:rPr>
                <w:rFonts w:hint="eastAsia"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本产品主要拟投资标的，例如现金、银行存款、买入返售、同业存单、债券等资产，市场透明度较高，运作方式规范，可应对本产品的日常申赎需要。但上述资产市场交易活跃度存在差异，当出现市场流动性风险时，部分资产可能会难以以合理价格变现，带来流动性风险。</w:t>
            </w:r>
          </w:p>
          <w:tbl>
            <w:tblPr>
              <w:tblStyle w:val="5"/>
              <w:tblW w:w="4885" w:type="dxa"/>
              <w:tblInd w:w="11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FFFFFF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59"/>
              <w:gridCol w:w="557"/>
              <w:gridCol w:w="558"/>
              <w:gridCol w:w="557"/>
              <w:gridCol w:w="557"/>
              <w:gridCol w:w="558"/>
              <w:gridCol w:w="557"/>
              <w:gridCol w:w="557"/>
              <w:gridCol w:w="42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</w:trPr>
              <w:tc>
                <w:tcPr>
                  <w:tcW w:w="559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资产类别</w:t>
                  </w:r>
                </w:p>
              </w:tc>
              <w:tc>
                <w:tcPr>
                  <w:tcW w:w="557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现金/银行存款</w:t>
                  </w:r>
                </w:p>
              </w:tc>
              <w:tc>
                <w:tcPr>
                  <w:tcW w:w="558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买入返售</w:t>
                  </w:r>
                </w:p>
              </w:tc>
              <w:tc>
                <w:tcPr>
                  <w:tcW w:w="557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利率债</w:t>
                  </w:r>
                </w:p>
              </w:tc>
              <w:tc>
                <w:tcPr>
                  <w:tcW w:w="557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同业存单/金融债</w:t>
                  </w:r>
                </w:p>
              </w:tc>
              <w:tc>
                <w:tcPr>
                  <w:tcW w:w="558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企业债</w:t>
                  </w:r>
                </w:p>
              </w:tc>
              <w:tc>
                <w:tcPr>
                  <w:tcW w:w="557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各类公募资管产品</w:t>
                  </w:r>
                </w:p>
              </w:tc>
              <w:tc>
                <w:tcPr>
                  <w:tcW w:w="557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资产支持证券</w:t>
                  </w:r>
                </w:p>
              </w:tc>
              <w:tc>
                <w:tcPr>
                  <w:tcW w:w="425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各类私募资管产品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</w:trPr>
              <w:tc>
                <w:tcPr>
                  <w:tcW w:w="559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流动性</w:t>
                  </w:r>
                </w:p>
              </w:tc>
              <w:tc>
                <w:tcPr>
                  <w:tcW w:w="557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高</w:t>
                  </w:r>
                </w:p>
              </w:tc>
              <w:tc>
                <w:tcPr>
                  <w:tcW w:w="558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高</w:t>
                  </w:r>
                </w:p>
              </w:tc>
              <w:tc>
                <w:tcPr>
                  <w:tcW w:w="557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高</w:t>
                  </w:r>
                </w:p>
              </w:tc>
              <w:tc>
                <w:tcPr>
                  <w:tcW w:w="557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较高</w:t>
                  </w:r>
                </w:p>
              </w:tc>
              <w:tc>
                <w:tcPr>
                  <w:tcW w:w="558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较高</w:t>
                  </w:r>
                </w:p>
              </w:tc>
              <w:tc>
                <w:tcPr>
                  <w:tcW w:w="557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较高</w:t>
                  </w:r>
                </w:p>
              </w:tc>
              <w:tc>
                <w:tcPr>
                  <w:tcW w:w="557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中等</w:t>
                  </w:r>
                </w:p>
              </w:tc>
              <w:tc>
                <w:tcPr>
                  <w:tcW w:w="425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较弱</w:t>
                  </w:r>
                </w:p>
              </w:tc>
            </w:tr>
          </w:tbl>
          <w:p>
            <w:pPr>
              <w:rPr>
                <w:rFonts w:cs="Times New Roman" w:asciiTheme="minorEastAsia" w:hAnsiTheme="minorEastAsia"/>
                <w:sz w:val="15"/>
                <w:szCs w:val="15"/>
              </w:rPr>
            </w:pPr>
          </w:p>
        </w:tc>
      </w:tr>
    </w:tbl>
    <w:p>
      <w:pPr>
        <w:ind w:firstLine="420" w:firstLineChars="20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2、其他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94"/>
        <w:gridCol w:w="6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rPr>
                <w:rFonts w:hint="eastAsia" w:cs="黑体"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15"/>
                <w:szCs w:val="15"/>
              </w:rPr>
              <w:t>产品要素</w:t>
            </w:r>
          </w:p>
        </w:tc>
        <w:tc>
          <w:tcPr>
            <w:tcW w:w="994" w:type="dxa"/>
            <w:vAlign w:val="center"/>
          </w:tcPr>
          <w:p>
            <w:pPr>
              <w:rPr>
                <w:rFonts w:hint="eastAsia" w:cs="黑体"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15"/>
                <w:szCs w:val="15"/>
              </w:rPr>
              <w:t>调整前</w:t>
            </w:r>
          </w:p>
        </w:tc>
        <w:tc>
          <w:tcPr>
            <w:tcW w:w="6853" w:type="dxa"/>
            <w:vAlign w:val="center"/>
          </w:tcPr>
          <w:p>
            <w:pPr>
              <w:rPr>
                <w:rFonts w:hint="eastAsia" w:cs="黑体"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hint="eastAsia" w:cs="黑体" w:asciiTheme="minorEastAsia" w:hAnsiTheme="minorEastAsia"/>
                <w:b/>
                <w:bCs/>
                <w:sz w:val="15"/>
                <w:szCs w:val="15"/>
              </w:rPr>
              <w:t>调整后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rPr>
                <w:rFonts w:hint="eastAsia" w:cs="黑体"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/>
                <w:spacing w:val="8"/>
                <w:sz w:val="15"/>
                <w:szCs w:val="15"/>
              </w:rPr>
              <w:t>拟投资资产的流动性风险评估</w:t>
            </w:r>
          </w:p>
        </w:tc>
        <w:tc>
          <w:tcPr>
            <w:tcW w:w="994" w:type="dxa"/>
            <w:vAlign w:val="center"/>
          </w:tcPr>
          <w:p>
            <w:pPr>
              <w:rPr>
                <w:rFonts w:cs="黑体" w:asciiTheme="minorEastAsia" w:hAnsiTheme="minorEastAsia"/>
                <w:sz w:val="15"/>
                <w:szCs w:val="15"/>
              </w:rPr>
            </w:pPr>
          </w:p>
          <w:p>
            <w:pPr>
              <w:rPr>
                <w:rFonts w:cs="黑体" w:asciiTheme="minorEastAsia" w:hAnsiTheme="minorEastAsia"/>
                <w:sz w:val="15"/>
                <w:szCs w:val="15"/>
              </w:rPr>
            </w:pPr>
            <w:r>
              <w:rPr>
                <w:rFonts w:hint="eastAsia" w:cs="黑体" w:asciiTheme="minorEastAsia" w:hAnsiTheme="minorEastAsia"/>
                <w:sz w:val="15"/>
                <w:szCs w:val="15"/>
              </w:rPr>
              <w:t>/</w:t>
            </w:r>
          </w:p>
          <w:p>
            <w:pPr>
              <w:rPr>
                <w:rFonts w:hint="eastAsia" w:cs="黑体" w:asciiTheme="minorEastAsia" w:hAnsiTheme="minorEastAsia"/>
                <w:sz w:val="15"/>
                <w:szCs w:val="15"/>
              </w:rPr>
            </w:pPr>
          </w:p>
        </w:tc>
        <w:tc>
          <w:tcPr>
            <w:tcW w:w="6853" w:type="dxa"/>
            <w:vAlign w:val="center"/>
          </w:tcPr>
          <w:p>
            <w:pPr>
              <w:pStyle w:val="2"/>
              <w:spacing w:before="63" w:line="229" w:lineRule="auto"/>
              <w:ind w:left="41"/>
              <w:rPr>
                <w:rFonts w:hint="eastAsia" w:asciiTheme="minorEastAsia" w:hAnsiTheme="minorEastAsia" w:eastAsiaTheme="minorEastAsia" w:cstheme="minorBidi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kern w:val="2"/>
                <w:sz w:val="15"/>
                <w:szCs w:val="15"/>
                <w:lang w:val="en-US" w:eastAsia="zh-CN" w:bidi="ar-SA"/>
              </w:rPr>
              <w:t>（6）拟投资资产的流动性风险评估</w:t>
            </w:r>
          </w:p>
          <w:p>
            <w:pPr>
              <w:spacing w:before="156" w:beforeLines="50" w:after="156" w:afterLines="50"/>
              <w:rPr>
                <w:rFonts w:hint="eastAsia"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本产品主要拟投资标的，例如现金、银行存款、买入返售、同业存单、债券等资产，市场透明度较高，运作方式规范，可应对本产品的日常申赎需要。但上述资产市场交易活跃度存在差异，当出现市场流动性风险时，部分资产可能会难以以合理价格变现，带来流动性风险。</w:t>
            </w:r>
          </w:p>
          <w:tbl>
            <w:tblPr>
              <w:tblStyle w:val="5"/>
              <w:tblW w:w="6440" w:type="dxa"/>
              <w:tblInd w:w="11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FFFFFF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36"/>
              <w:gridCol w:w="736"/>
              <w:gridCol w:w="738"/>
              <w:gridCol w:w="736"/>
              <w:gridCol w:w="736"/>
              <w:gridCol w:w="738"/>
              <w:gridCol w:w="735"/>
              <w:gridCol w:w="735"/>
              <w:gridCol w:w="55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shd w:val="clear" w:color="auto" w:fill="FFFFFF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</w:trPr>
              <w:tc>
                <w:tcPr>
                  <w:tcW w:w="736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资产类别</w:t>
                  </w:r>
                </w:p>
              </w:tc>
              <w:tc>
                <w:tcPr>
                  <w:tcW w:w="736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现金/银行存款</w:t>
                  </w:r>
                </w:p>
              </w:tc>
              <w:tc>
                <w:tcPr>
                  <w:tcW w:w="738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买入返售</w:t>
                  </w:r>
                </w:p>
              </w:tc>
              <w:tc>
                <w:tcPr>
                  <w:tcW w:w="736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利率债</w:t>
                  </w:r>
                </w:p>
              </w:tc>
              <w:tc>
                <w:tcPr>
                  <w:tcW w:w="736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同业存单/金融债</w:t>
                  </w:r>
                </w:p>
              </w:tc>
              <w:tc>
                <w:tcPr>
                  <w:tcW w:w="738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企业债</w:t>
                  </w:r>
                </w:p>
              </w:tc>
              <w:tc>
                <w:tcPr>
                  <w:tcW w:w="735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各类公募资管产品</w:t>
                  </w:r>
                </w:p>
              </w:tc>
              <w:tc>
                <w:tcPr>
                  <w:tcW w:w="735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资产支持证券</w:t>
                  </w:r>
                </w:p>
              </w:tc>
              <w:tc>
                <w:tcPr>
                  <w:tcW w:w="550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各类私募资管产品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</w:trPr>
              <w:tc>
                <w:tcPr>
                  <w:tcW w:w="736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流动性</w:t>
                  </w:r>
                </w:p>
              </w:tc>
              <w:tc>
                <w:tcPr>
                  <w:tcW w:w="736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高</w:t>
                  </w:r>
                </w:p>
              </w:tc>
              <w:tc>
                <w:tcPr>
                  <w:tcW w:w="738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高</w:t>
                  </w:r>
                </w:p>
              </w:tc>
              <w:tc>
                <w:tcPr>
                  <w:tcW w:w="736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高</w:t>
                  </w:r>
                </w:p>
              </w:tc>
              <w:tc>
                <w:tcPr>
                  <w:tcW w:w="736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较高</w:t>
                  </w:r>
                </w:p>
              </w:tc>
              <w:tc>
                <w:tcPr>
                  <w:tcW w:w="738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较高</w:t>
                  </w:r>
                </w:p>
              </w:tc>
              <w:tc>
                <w:tcPr>
                  <w:tcW w:w="735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较高</w:t>
                  </w:r>
                </w:p>
              </w:tc>
              <w:tc>
                <w:tcPr>
                  <w:tcW w:w="735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中等</w:t>
                  </w:r>
                </w:p>
              </w:tc>
              <w:tc>
                <w:tcPr>
                  <w:tcW w:w="550" w:type="dxa"/>
                  <w:shd w:val="clear" w:color="auto" w:fill="FFFFFF"/>
                  <w:noWrap/>
                  <w:vAlign w:val="center"/>
                </w:tcPr>
                <w:p>
                  <w:pPr>
                    <w:spacing w:before="156" w:beforeLines="50" w:after="156" w:afterLines="50"/>
                    <w:jc w:val="center"/>
                    <w:rPr>
                      <w:rFonts w:hint="eastAsia"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hint="eastAsia" w:asciiTheme="minorEastAsia" w:hAnsiTheme="minorEastAsia"/>
                      <w:sz w:val="15"/>
                      <w:szCs w:val="15"/>
                    </w:rPr>
                    <w:t>较弱</w:t>
                  </w:r>
                </w:p>
              </w:tc>
            </w:tr>
          </w:tbl>
          <w:p>
            <w:pPr>
              <w:rPr>
                <w:rFonts w:cs="黑体" w:asciiTheme="minorEastAsia" w:hAnsiTheme="minorEastAsia"/>
                <w:sz w:val="15"/>
                <w:szCs w:val="15"/>
              </w:rPr>
            </w:pPr>
          </w:p>
          <w:p>
            <w:pPr>
              <w:rPr>
                <w:rFonts w:hint="eastAsia" w:cs="黑体" w:asciiTheme="minorEastAsia" w:hAnsiTheme="minorEastAsia"/>
                <w:sz w:val="15"/>
                <w:szCs w:val="15"/>
              </w:rPr>
            </w:pPr>
          </w:p>
        </w:tc>
      </w:tr>
    </w:tbl>
    <w:p>
      <w:pPr>
        <w:rPr>
          <w:rFonts w:asciiTheme="minorEastAsia" w:hAnsiTheme="minorEastAsia"/>
        </w:rPr>
      </w:pPr>
    </w:p>
    <w:p>
      <w:pPr>
        <w:ind w:firstLine="420"/>
        <w:rPr>
          <w:rFonts w:hint="eastAsia" w:cs="仿宋" w:asciiTheme="minorEastAsia" w:hAnsiTheme="minorEastAsia"/>
        </w:rPr>
      </w:pPr>
      <w:r>
        <w:rPr>
          <w:rFonts w:hint="eastAsia" w:cs="仿宋" w:asciiTheme="minorEastAsia" w:hAnsiTheme="minorEastAsia"/>
        </w:rPr>
        <w:t>以上条款调整要素于202</w:t>
      </w:r>
      <w:r>
        <w:rPr>
          <w:rFonts w:hint="eastAsia" w:cs="仿宋" w:asciiTheme="minorEastAsia" w:hAnsiTheme="minorEastAsia"/>
          <w:highlight w:val="none"/>
        </w:rPr>
        <w:t>6年</w:t>
      </w:r>
      <w:r>
        <w:rPr>
          <w:rFonts w:hint="eastAsia" w:cs="仿宋" w:asciiTheme="minorEastAsia" w:hAnsiTheme="minorEastAsia"/>
          <w:highlight w:val="none"/>
          <w:lang w:val="en-US" w:eastAsia="zh-CN"/>
        </w:rPr>
        <w:t>4</w:t>
      </w:r>
      <w:r>
        <w:rPr>
          <w:rFonts w:hint="eastAsia" w:cs="仿宋" w:asciiTheme="minorEastAsia" w:hAnsiTheme="minorEastAsia"/>
          <w:highlight w:val="none"/>
        </w:rPr>
        <w:t>月</w:t>
      </w:r>
      <w:r>
        <w:rPr>
          <w:rFonts w:hint="eastAsia" w:cs="仿宋" w:asciiTheme="minorEastAsia" w:hAnsiTheme="minorEastAsia"/>
          <w:highlight w:val="none"/>
          <w:lang w:val="en-US" w:eastAsia="zh-CN"/>
        </w:rPr>
        <w:t>15</w:t>
      </w:r>
      <w:r>
        <w:rPr>
          <w:rFonts w:hint="eastAsia" w:cs="仿宋" w:asciiTheme="minorEastAsia" w:hAnsiTheme="minorEastAsia"/>
        </w:rPr>
        <w:t>日生效，感谢您一直以来对江阴农商银行的支持！敬请继续关注江阴农商银行正在销售的其</w:t>
      </w:r>
      <w:bookmarkStart w:id="0" w:name="_GoBack"/>
      <w:bookmarkEnd w:id="0"/>
      <w:r>
        <w:rPr>
          <w:rFonts w:hint="eastAsia" w:cs="仿宋" w:asciiTheme="minorEastAsia" w:hAnsiTheme="minorEastAsia"/>
        </w:rPr>
        <w:t>他理财产品。</w:t>
      </w:r>
    </w:p>
    <w:p>
      <w:pPr>
        <w:ind w:firstLine="420"/>
        <w:rPr>
          <w:rFonts w:hint="eastAsia" w:cs="仿宋" w:asciiTheme="minorEastAsia" w:hAnsiTheme="minorEastAsia"/>
        </w:rPr>
      </w:pPr>
      <w:r>
        <w:rPr>
          <w:rFonts w:hint="eastAsia" w:cs="仿宋" w:asciiTheme="minorEastAsia" w:hAnsiTheme="minorEastAsia"/>
        </w:rPr>
        <w:t>特此公告。</w:t>
      </w:r>
    </w:p>
    <w:p>
      <w:pPr>
        <w:ind w:firstLine="420"/>
        <w:rPr>
          <w:rFonts w:hint="eastAsia" w:cs="仿宋" w:asciiTheme="minorEastAsia" w:hAnsiTheme="minorEastAsia"/>
        </w:rPr>
      </w:pPr>
    </w:p>
    <w:p>
      <w:pPr>
        <w:ind w:firstLine="420"/>
        <w:rPr>
          <w:rFonts w:hint="eastAsia" w:cs="仿宋" w:asciiTheme="minorEastAsia" w:hAnsiTheme="minorEastAsia"/>
        </w:rPr>
      </w:pPr>
    </w:p>
    <w:p>
      <w:pPr>
        <w:ind w:firstLine="420"/>
        <w:jc w:val="right"/>
        <w:rPr>
          <w:rFonts w:hint="eastAsia" w:cs="仿宋" w:asciiTheme="minorEastAsia" w:hAnsiTheme="minorEastAsia"/>
          <w:highlight w:val="none"/>
        </w:rPr>
      </w:pPr>
      <w:r>
        <w:rPr>
          <w:rFonts w:hint="eastAsia" w:cs="仿宋" w:asciiTheme="minorEastAsia" w:hAnsiTheme="minorEastAsia"/>
        </w:rPr>
        <w:t>江苏江阴农村商业银</w:t>
      </w:r>
      <w:r>
        <w:rPr>
          <w:rFonts w:hint="eastAsia" w:cs="仿宋" w:asciiTheme="minorEastAsia" w:hAnsiTheme="minorEastAsia"/>
          <w:highlight w:val="none"/>
        </w:rPr>
        <w:t>行股份有限公司</w:t>
      </w:r>
    </w:p>
    <w:p>
      <w:pPr>
        <w:ind w:firstLine="420"/>
        <w:jc w:val="right"/>
        <w:rPr>
          <w:rFonts w:hint="eastAsia" w:cs="仿宋" w:asciiTheme="minorEastAsia" w:hAnsiTheme="minorEastAsia"/>
          <w:highlight w:val="none"/>
        </w:rPr>
      </w:pPr>
      <w:r>
        <w:rPr>
          <w:rFonts w:hint="eastAsia" w:cs="仿宋" w:asciiTheme="minorEastAsia" w:hAnsiTheme="minorEastAsia"/>
          <w:highlight w:val="none"/>
        </w:rPr>
        <w:t>2026年</w:t>
      </w:r>
      <w:r>
        <w:rPr>
          <w:rFonts w:hint="eastAsia" w:cs="仿宋" w:asciiTheme="minorEastAsia" w:hAnsiTheme="minorEastAsia"/>
          <w:highlight w:val="none"/>
          <w:lang w:val="en-US" w:eastAsia="zh-CN"/>
        </w:rPr>
        <w:t>4</w:t>
      </w:r>
      <w:r>
        <w:rPr>
          <w:rFonts w:hint="eastAsia" w:cs="仿宋" w:asciiTheme="minorEastAsia" w:hAnsiTheme="minorEastAsia"/>
          <w:highlight w:val="none"/>
        </w:rPr>
        <w:t>月</w:t>
      </w:r>
      <w:r>
        <w:rPr>
          <w:rFonts w:hint="eastAsia" w:cs="仿宋" w:asciiTheme="minorEastAsia" w:hAnsiTheme="minorEastAsia"/>
          <w:highlight w:val="none"/>
          <w:lang w:val="en-US" w:eastAsia="zh-CN"/>
        </w:rPr>
        <w:t>10</w:t>
      </w:r>
      <w:r>
        <w:rPr>
          <w:rFonts w:hint="eastAsia" w:cs="仿宋" w:asciiTheme="minorEastAsia" w:hAnsiTheme="minorEastAsia"/>
          <w:highlight w:val="none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iZDA2ODQ2MTg4MDAyNTllYmMxZDZhMWIzNTVmNjEifQ=="/>
  </w:docVars>
  <w:rsids>
    <w:rsidRoot w:val="00172A27"/>
    <w:rsid w:val="00062CB3"/>
    <w:rsid w:val="0014155E"/>
    <w:rsid w:val="0016668F"/>
    <w:rsid w:val="00170A3F"/>
    <w:rsid w:val="00172A27"/>
    <w:rsid w:val="002174A2"/>
    <w:rsid w:val="002517DD"/>
    <w:rsid w:val="00253BB8"/>
    <w:rsid w:val="002B4D36"/>
    <w:rsid w:val="002E021D"/>
    <w:rsid w:val="002F4C7C"/>
    <w:rsid w:val="00372814"/>
    <w:rsid w:val="0040001C"/>
    <w:rsid w:val="004C4DD1"/>
    <w:rsid w:val="004F63B0"/>
    <w:rsid w:val="00546F75"/>
    <w:rsid w:val="00550B96"/>
    <w:rsid w:val="00555692"/>
    <w:rsid w:val="005716D2"/>
    <w:rsid w:val="0059158C"/>
    <w:rsid w:val="005A3473"/>
    <w:rsid w:val="005B0303"/>
    <w:rsid w:val="00606CC0"/>
    <w:rsid w:val="00633625"/>
    <w:rsid w:val="006F6340"/>
    <w:rsid w:val="00741F43"/>
    <w:rsid w:val="0075669F"/>
    <w:rsid w:val="007C19A8"/>
    <w:rsid w:val="008D37DF"/>
    <w:rsid w:val="008F011B"/>
    <w:rsid w:val="00932AFD"/>
    <w:rsid w:val="00A25F96"/>
    <w:rsid w:val="00A33A04"/>
    <w:rsid w:val="00A476D4"/>
    <w:rsid w:val="00A711EE"/>
    <w:rsid w:val="00A809BE"/>
    <w:rsid w:val="00AB46F4"/>
    <w:rsid w:val="00AB5CC8"/>
    <w:rsid w:val="00AB77E3"/>
    <w:rsid w:val="00AF0DA7"/>
    <w:rsid w:val="00B12641"/>
    <w:rsid w:val="00B97F58"/>
    <w:rsid w:val="00BF3C61"/>
    <w:rsid w:val="00C06BC4"/>
    <w:rsid w:val="00C56074"/>
    <w:rsid w:val="00C932A0"/>
    <w:rsid w:val="00D1709C"/>
    <w:rsid w:val="00E31DB4"/>
    <w:rsid w:val="00EA65A2"/>
    <w:rsid w:val="00EB156A"/>
    <w:rsid w:val="00EF1ACC"/>
    <w:rsid w:val="00F529E6"/>
    <w:rsid w:val="00FA6F28"/>
    <w:rsid w:val="0B2833B7"/>
    <w:rsid w:val="0BA92767"/>
    <w:rsid w:val="0E9B4151"/>
    <w:rsid w:val="0F47538B"/>
    <w:rsid w:val="0FA26299"/>
    <w:rsid w:val="10F12FE6"/>
    <w:rsid w:val="148D08EF"/>
    <w:rsid w:val="1968576C"/>
    <w:rsid w:val="1DE958DB"/>
    <w:rsid w:val="1E7F643D"/>
    <w:rsid w:val="242F2549"/>
    <w:rsid w:val="26910B48"/>
    <w:rsid w:val="298155FD"/>
    <w:rsid w:val="29E47A53"/>
    <w:rsid w:val="2ED877ED"/>
    <w:rsid w:val="2FAB2614"/>
    <w:rsid w:val="41295CD6"/>
    <w:rsid w:val="42900ED8"/>
    <w:rsid w:val="4742679B"/>
    <w:rsid w:val="4D88244A"/>
    <w:rsid w:val="4E3C1D70"/>
    <w:rsid w:val="4F7330AD"/>
    <w:rsid w:val="51226F3A"/>
    <w:rsid w:val="58303009"/>
    <w:rsid w:val="5AE6200F"/>
    <w:rsid w:val="617D5605"/>
    <w:rsid w:val="620221AB"/>
    <w:rsid w:val="64920748"/>
    <w:rsid w:val="686A5863"/>
    <w:rsid w:val="696D7E3D"/>
    <w:rsid w:val="6C9457EE"/>
    <w:rsid w:val="6CD50C77"/>
    <w:rsid w:val="6D016141"/>
    <w:rsid w:val="6EA513EB"/>
    <w:rsid w:val="71505F01"/>
    <w:rsid w:val="739B6273"/>
    <w:rsid w:val="73EA2E81"/>
    <w:rsid w:val="7B0933FD"/>
    <w:rsid w:val="7B4F217D"/>
    <w:rsid w:val="7C0E7675"/>
    <w:rsid w:val="7E3B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0"/>
      <w:szCs w:val="20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eastAsia="en-US"/>
    </w:rPr>
  </w:style>
  <w:style w:type="table" w:customStyle="1" w:styleId="9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874</Words>
  <Characters>927</Characters>
  <Lines>40</Lines>
  <Paragraphs>37</Paragraphs>
  <TotalTime>8</TotalTime>
  <ScaleCrop>false</ScaleCrop>
  <LinksUpToDate>false</LinksUpToDate>
  <CharactersWithSpaces>1764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2024-03-14T06:43:00Z</dcterms:created>
  <dc:creator>admin</dc:creator>
  <cp:lastModifiedBy>admin</cp:lastModifiedBy>
  <dcterms:modified xsi:type="dcterms:W3CDTF">2026-04-10T07:18:35Z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8BB0D02FE8EB4ABF87E30264F12799C0_12</vt:lpwstr>
  </property>
</Properties>
</file>