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恒源6月定开23期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管理人拟对“苏银理财恒源6月定开23期”理财产品部分要素进行调整，具体如下：</w:t>
      </w:r>
    </w:p>
    <w:p>
      <w:pPr>
        <w:pStyle w:val="11"/>
        <w:numPr>
          <w:ilvl w:val="0"/>
          <w:numId w:val="0"/>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J03220</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J03223</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苏银理财恒源6月定开23期G</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苏银理财恒源6月定开23期L</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J03225</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苏银理财恒源6月定开23期J</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J08626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28日起生效，投资者如不接受本次公告所述调整，可于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17日至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27日产品开放期内提出赎回申请；若投资者逾期未提出赎回申请，则视为接受上述调整事项。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7</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C42F3D"/>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33E6A26"/>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A20CF2"/>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B91ECE"/>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4966354"/>
    <w:rsid w:val="75233BB6"/>
    <w:rsid w:val="755B1AA4"/>
    <w:rsid w:val="76595A4F"/>
    <w:rsid w:val="766A4803"/>
    <w:rsid w:val="775554CA"/>
    <w:rsid w:val="77667C2A"/>
    <w:rsid w:val="78CF16D6"/>
    <w:rsid w:val="794513BB"/>
    <w:rsid w:val="7965579B"/>
    <w:rsid w:val="7A0E5BE7"/>
    <w:rsid w:val="7A495510"/>
    <w:rsid w:val="7A8F32F6"/>
    <w:rsid w:val="7A9046C1"/>
    <w:rsid w:val="7AC631B1"/>
    <w:rsid w:val="7B691929"/>
    <w:rsid w:val="7B773AF5"/>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4</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2026-03-27T06:58:43Z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2DC8D03890D744F28A0BB560B87E8674</vt:lpwstr>
  </property>
</Properties>
</file>