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南银理财珠联璧合鑫悦享1912三个月定开公募人民币理财产品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Z7003220000011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2019年12月18日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1,158,480,851.43</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万家基金管理有限公司,中粮信托有限责任公司,鑫沅资产管理有限公司,陆家嘴国际信托有限公司,平安资产管理有限责任公司,太平洋资产管理有限责任公司,江苏省国际信托有限责任公司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1,293,122,910.80</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1.1559</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1.2434</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35,245,059.91</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1.1562</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1.1562</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10,695,493.01</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1.1506</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1.1506</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Z40004份额净值为1.1559元，Z41004份额净值为1.1562元，Z42004份额净值为1.1506</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93.76%</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93.24%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6.24%</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6.76%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252,329,777.64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092280080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22光大银行二级资本债01A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101,812,400.00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100,776,924.45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112693748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26嘉兴银行CD012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98,482,700.00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23瀚控08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60,641,280.00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2080043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20泰信债01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52,643,350.00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2120108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21威海商行永续债</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50,657,950.00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519199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万家家享中短债债券A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50,027,530.10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50,025,031.37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112695615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26湖州银行CD033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49,252,850.00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3.68</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810498.01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65994.13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84524.79</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