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南银理财鼎瑞安稳一年定开2025第9期公募人民币理财产品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南银理财鼎瑞安稳一年定开2025第9期公募人民币理财产品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Z7003225000152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2025年06月05日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283,886,742.00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中粮信托有限责任公司,中诚信托有限责任公司,国投泰康信托有限公司,天津信托有限责任公司,紫金信托有限责任公司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Z30019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284,233,279.65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1.0332</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现震荡下行走势，中长端表现好于短端，信用好于利率。经济基本面温和修复，制造业PMI季末重回扩张区间，外需延续韧性但内需修复力度偏弱，地产链持续筑底；CPI中枢抬升至1.2%，PPI持续上行，输入性通胀约束宽松空间，工业企业盈利增速小幅回落。央行维持适度宽松基调，持续投放流动性对冲缴税、季末考核扰动，“削峰平谷”效果较好，同时增加隔夜OMO操作，呵护之余严防资金空转，引导回流实体，资金中枢平稳运行。海外端中东地缘冲突反复扰动油价，美联储降息预期持续延后，美债利率高位震荡，内外利差形成压制。市场表现，10年期国债区间下行9BP至1.74%，信用债整体下行10-30bp不等。</w:t>
        <w:br w:type="textWrapping" w:clear="all"/>
      </w:r>
      <w:r>
        <w:rPr>
          <w:rFonts w:ascii="方正仿宋简体" w:eastAsia="方正仿宋简体" w:hint="eastAsia"/>
          <w:sz w:val="24"/>
          <w:szCs w:val="24"/>
        </w:rPr>
        <w:t>  展望三季度，债市大概率将维持窄幅震荡格局。国内经济修复节奏平缓，资产荒底层逻辑未发生改变；三季度政府债、二永债供给进入全年高峰，叠加PPI高位运行，长端利率下行空间受限。央行预计维持合理充裕，呵护市场流动性。操作上以票息持有为主，逢利率调整窗口把握波段机会，积极配置仍有票息价值的3-5年信用债品种。</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份额净值为1.0012</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99.02%</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90.53%</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9.47%</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0.98%</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100,097,789.94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46,415,567.97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26,955,360.75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XTDKX202606230001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天津信托锦实1号集合资金信托计划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10,001,399.10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HHQTT202603180001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国投泰康信托福佳严选2号集合资金信托计划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2,792,590.42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4,266.67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北京金泰卓能咨询有限责任公司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天津信托锦实1号集合资金信托计划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0101010000001531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南银理财鼎瑞安稳一年定开2025第9期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92591275.84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93700000.00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2474.30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240.83</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