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南银理财珠联璧合行稳2004半年定开公募人民币理财产品</w:t>
      </w: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6065"/>
      </w:tblGrid>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产品全称</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南银理财珠联璧合行稳2004半年定开公募人民币理财产品</w:t>
            </w:r>
          </w:p>
        </w:tc>
      </w:tr>
      <w:tr w:rsidR="0025361C">
        <w:trPr>
          <w:trHeight w:val="1207"/>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产品登记编码</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Z7003221000029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产品运作方式</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开放式净值型</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产品成立日</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2020年04月08日</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报告期末产品份额总额</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689,850,638.71</w:t>
            </w:r>
            <w:r>
              <w:rPr>
                <w:rFonts w:ascii="方正仿宋简体" w:eastAsia="方正仿宋简体" w:hint="eastAsia"/>
                <w:sz w:val="24"/>
                <w:szCs w:val="24"/>
              </w:rPr>
              <w:t>份</w:t>
            </w:r>
          </w:p>
        </w:tc>
      </w:tr>
      <w:tr w:rsidR="0025361C">
        <w:trPr>
          <w:trHeight w:val="639"/>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合作机构</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国投泰康信托有限公司,鑫元基金管理有限公司,中国人保资产管理有限公司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产品管理人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南银理财有限责任公司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产品托管人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南京银行股份有限公司</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主要财务指标和产品业绩比较基准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25361C" w:rsidRDefault="00CD5DF8">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296"/>
        <w:gridCol w:w="2705"/>
        <w:gridCol w:w="2030"/>
        <w:gridCol w:w="2036"/>
      </w:tblGrid>
      <w:tr w:rsidR="0025361C">
        <w:trPr>
          <w:trHeight w:val="613"/>
          <w:jc w:val="center"/>
        </w:trPr>
        <w:tc>
          <w:tcPr>
            <w:tcW w:w="2296" w:type="dxa"/>
            <w:vMerge w:val="restart"/>
            <w:vAlign w:val="center"/>
          </w:tcPr>
          <w:p w:rsidR="0025361C" w:rsidRDefault="00CD5DF8" w:rsidP="005E567C">
            <w:pPr>
              <w:spacing w:beforeLines="20" w:afterLines="2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6771" w:type="dxa"/>
            <w:gridSpan w:val="3"/>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25361C">
        <w:trPr>
          <w:trHeight w:val="1664"/>
          <w:jc w:val="center"/>
        </w:trPr>
        <w:tc>
          <w:tcPr>
            <w:tcW w:w="2296" w:type="dxa"/>
            <w:vMerge/>
            <w:vAlign w:val="center"/>
          </w:tcPr>
          <w:p w:rsidR="0025361C" w:rsidRDefault="0025361C" w:rsidP="005E567C">
            <w:pPr>
              <w:spacing w:beforeLines="20" w:afterLines="20" w:line="360" w:lineRule="auto"/>
              <w:jc w:val="center"/>
              <w:rPr>
                <w:rFonts w:ascii="方正仿宋简体" w:eastAsia="方正仿宋简体"/>
                <w:sz w:val="24"/>
                <w:szCs w:val="24"/>
              </w:rPr>
            </w:pPr>
          </w:p>
        </w:tc>
        <w:tc>
          <w:tcPr>
            <w:tcW w:w="270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030"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036"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Z10027</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690,054,808.67</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1.0002</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1.2164</w:t>
            </w:r>
          </w:p>
        </w:tc>
      </w:tr>
    </w:tbl>
    <w:p w:rsidR="0025361C" w:rsidRDefault="00CD5DF8">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2.2.1</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485"/>
        <w:gridCol w:w="2095"/>
        <w:gridCol w:w="2322"/>
      </w:tblGrid>
      <w:tr w:rsidR="0025361C">
        <w:trPr>
          <w:jc w:val="center"/>
        </w:trPr>
        <w:tc>
          <w:tcPr>
            <w:tcW w:w="448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09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322"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2026年04月01日 - 2026年06月30日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Z10027</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r>
        <w:rPr>
          <w:rFonts w:ascii="方正仿宋简体" w:eastAsia="方正仿宋简体" w:hint="eastAsia"/>
          <w:b/>
          <w:sz w:val="24"/>
          <w:szCs w:val="24"/>
        </w:rPr>
        <w:tab/>
      </w:r>
    </w:p>
    <w:p w:rsidR="0025361C" w:rsidRDefault="00CD5DF8">
      <w:pPr>
        <w:spacing w:before="240" w:after="72" w:line="360" w:lineRule="auto"/>
        <w:rPr>
          <w:rFonts w:ascii="方正仿宋简体" w:eastAsia="方正仿宋简体"/>
          <w:sz w:val="24"/>
          <w:szCs w:val="24"/>
        </w:rPr>
      </w:pPr>
      <w:r>
        <w:rPr>
          <w:rFonts w:ascii="方正仿宋简体" w:eastAsia="方正仿宋简体" w:hint="eastAsia"/>
          <w:sz w:val="24"/>
          <w:szCs w:val="24"/>
        </w:rPr>
        <w:t>  今年二季度产品操作稳健偏积极。二季度债券市场走势震荡偏强，利率债区间横盘震荡、信用债继续走强，信用利差持续压缩。通胀数据抬升、估值低位等机构预防性调仓因素引发了阶段性的小幅波动，但全季度资金面整体维持宽松，非银流动性也保持充裕，债券市场总体仍带来了不错的收益贡献。随着市场收益率进一步下台阶，二季度产品运作过程中操作从一季度的积极思路逐渐略转回中性，产品层面在二季度末边际下降了杠杆及久期水平，同时把握了一些利率及二级资本债的交易机会，目前的组合情况为后续的市场机会预留了一定的加仓空间。另外，在市场上涨过程中减持了部分性价比偏弱的个券降低低效仓位，通过置换部分持仓，提升组合静态。下一阶段，产品将继续围绕稳健回报的收益目标进行操作，审慎精选票息品种，久期根据对宏观基本面的判断灵活调整，及时做好市场走势的跟踪与研判，挖掘潜在投资机会。</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25361C" w:rsidRDefault="00CD5DF8">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25361C" w:rsidRDefault="00CD5DF8">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份额净值为1.0002</w:t>
      </w:r>
      <w:r>
        <w:rPr>
          <w:rFonts w:ascii="方正仿宋简体" w:eastAsia="方正仿宋简体" w:hint="eastAsia"/>
          <w:sz w:val="24"/>
          <w:szCs w:val="24"/>
        </w:rPr>
        <w:t>元。</w:t>
      </w:r>
    </w:p>
    <w:p w:rsidR="0025361C" w:rsidRDefault="0025361C">
      <w:pPr>
        <w:spacing w:before="240" w:after="72" w:line="360" w:lineRule="auto"/>
        <w:rPr>
          <w:rFonts w:ascii="方正仿宋_GBK" w:eastAsia="方正仿宋_GBK" w:hAnsi="宋体"/>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91.82%</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86.17%</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8.18%</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13.83%</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25361C">
        <w:trPr>
          <w:trHeight w:val="1233"/>
          <w:jc w:val="center"/>
        </w:trPr>
        <w:tc>
          <w:tcPr>
            <w:tcW w:w="75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286,342,208.98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41.50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99,531,891.04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032400985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24隆博投资PPN002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50,502,450.00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中国人保资产中短期配置12号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50,027,711.07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254324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24邳投02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40,380,040.00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271126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24湔投01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30,731,610.00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032400989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24成兴国资PPN001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30,356,190.00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032381130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23阜宁城发PPN002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30,274,140.00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2120100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21郑州银行永续债</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20,237,460.00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253496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24溧开Y1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20,196,380.00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2.93</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3"/>
        <w:gridCol w:w="1671"/>
        <w:gridCol w:w="1252"/>
        <w:gridCol w:w="1511"/>
        <w:gridCol w:w="1357"/>
        <w:gridCol w:w="1248"/>
        <w:gridCol w:w="1000"/>
      </w:tblGrid>
      <w:tr w:rsidR="0025361C">
        <w:trPr>
          <w:trHeight w:val="1078"/>
          <w:jc w:val="center"/>
        </w:trPr>
        <w:tc>
          <w:tcPr>
            <w:tcW w:w="86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67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1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5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4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100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6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696"/>
        <w:gridCol w:w="1567"/>
        <w:gridCol w:w="2668"/>
        <w:gridCol w:w="1983"/>
        <w:gridCol w:w="1988"/>
      </w:tblGrid>
      <w:tr w:rsidR="0025361C">
        <w:trPr>
          <w:trHeight w:val="584"/>
          <w:jc w:val="center"/>
        </w:trPr>
        <w:tc>
          <w:tcPr>
            <w:tcW w:w="696"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6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0120090000000381</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南京银行行稳2004半年定开</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25361C" w:rsidRDefault="005E567C">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CD5DF8">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C4C5A">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6.</w:t>
      </w:r>
      <w:r w:rsidR="00CD5DF8">
        <w:rPr>
          <w:rFonts w:ascii="方正仿宋简体" w:eastAsia="方正仿宋简体" w:hint="eastAsia"/>
          <w:b/>
          <w:sz w:val="24"/>
          <w:szCs w:val="24"/>
        </w:rPr>
        <w:t>2</w:t>
      </w:r>
      <w:r w:rsidR="00CD5DF8">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3</w:t>
      </w:r>
      <w:r w:rsidR="00CD5DF8">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4</w:t>
      </w:r>
      <w:r w:rsidR="00CD5DF8">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25361C">
        <w:trPr>
          <w:trHeight w:val="1048"/>
          <w:jc w:val="center"/>
        </w:trPr>
        <w:tc>
          <w:tcPr>
            <w:tcW w:w="87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351346.57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20598.96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41280.69</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25361C">
      <w:pPr>
        <w:spacing w:before="240" w:after="72" w:line="360" w:lineRule="auto"/>
        <w:jc w:val="right"/>
        <w:rPr>
          <w:rFonts w:ascii="方正仿宋_GBK" w:eastAsia="方正仿宋_GBK"/>
          <w:b/>
          <w:sz w:val="24"/>
          <w:szCs w:val="24"/>
        </w:rPr>
      </w:pP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25361C" w:rsidSect="0025361C">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5DF8" w:rsidRDefault="00CD5DF8" w:rsidP="005E567C">
      <w:pPr>
        <w:spacing w:after="72"/>
      </w:pPr>
      <w:r>
        <w:separator/>
      </w:r>
    </w:p>
  </w:endnote>
  <w:endnote w:type="continuationSeparator" w:id="1">
    <w:p w:rsidR="00CD5DF8" w:rsidRDefault="00CD5DF8" w:rsidP="005E567C">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framePr w:wrap="around" w:vAnchor="text" w:hAnchor="margin" w:xAlign="center" w:y="1"/>
      <w:spacing w:after="72"/>
      <w:rPr>
        <w:rStyle w:val="a6"/>
      </w:rPr>
    </w:pPr>
    <w:r>
      <w:fldChar w:fldCharType="begin"/>
    </w:r>
    <w:r w:rsidR="00CD5DF8">
      <w:rPr>
        <w:rStyle w:val="a6"/>
      </w:rPr>
      <w:instrText xml:space="preserve">PAGE  </w:instrText>
    </w:r>
    <w:r>
      <w:fldChar w:fldCharType="end"/>
    </w:r>
  </w:p>
  <w:p w:rsidR="0025361C" w:rsidRDefault="0025361C">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5DF8" w:rsidRDefault="00CD5DF8" w:rsidP="005E567C">
      <w:pPr>
        <w:spacing w:after="72"/>
      </w:pPr>
      <w:r>
        <w:separator/>
      </w:r>
    </w:p>
  </w:footnote>
  <w:footnote w:type="continuationSeparator" w:id="1">
    <w:p w:rsidR="00CD5DF8" w:rsidRDefault="00CD5DF8" w:rsidP="005E567C">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5361C"/>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E567C"/>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2199"/>
    <w:rsid w:val="008833A7"/>
    <w:rsid w:val="00894D12"/>
    <w:rsid w:val="008C4C5A"/>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CD5DF8"/>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3B967EA1"/>
    <w:rsid w:val="4D550AEB"/>
    <w:rsid w:val="509470EC"/>
    <w:rsid w:val="59E74023"/>
    <w:rsid w:val="5A73269D"/>
    <w:rsid w:val="5BFB5547"/>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61C"/>
    <w:pPr>
      <w:widowControl w:val="0"/>
      <w:snapToGrid w:val="0"/>
      <w:spacing w:afterLines="3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5361C"/>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25361C"/>
    <w:pPr>
      <w:pBdr>
        <w:bottom w:val="single" w:sz="6" w:space="1" w:color="auto"/>
      </w:pBdr>
      <w:tabs>
        <w:tab w:val="center" w:pos="4153"/>
        <w:tab w:val="right" w:pos="8306"/>
      </w:tabs>
      <w:jc w:val="center"/>
    </w:pPr>
    <w:rPr>
      <w:sz w:val="18"/>
      <w:szCs w:val="18"/>
    </w:rPr>
  </w:style>
  <w:style w:type="paragraph" w:styleId="a5">
    <w:name w:val="Normal (Web)"/>
    <w:basedOn w:val="a"/>
    <w:qFormat/>
    <w:rsid w:val="0025361C"/>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25361C"/>
  </w:style>
  <w:style w:type="character" w:customStyle="1" w:styleId="Char">
    <w:name w:val="页脚 Char"/>
    <w:link w:val="a3"/>
    <w:uiPriority w:val="99"/>
    <w:qFormat/>
    <w:locked/>
    <w:rsid w:val="0025361C"/>
    <w:rPr>
      <w:rFonts w:ascii="Times New Roman" w:hAnsi="Times New Roman" w:cs="Times New Roman"/>
      <w:sz w:val="18"/>
      <w:szCs w:val="18"/>
    </w:rPr>
  </w:style>
  <w:style w:type="character" w:customStyle="1" w:styleId="Char1">
    <w:name w:val="页脚 Char1"/>
    <w:basedOn w:val="a0"/>
    <w:uiPriority w:val="99"/>
    <w:semiHidden/>
    <w:qFormat/>
    <w:rsid w:val="0025361C"/>
    <w:rPr>
      <w:rFonts w:ascii="Times New Roman" w:eastAsia="宋体" w:hAnsi="Times New Roman" w:cs="Times New Roman"/>
      <w:sz w:val="18"/>
      <w:szCs w:val="18"/>
    </w:rPr>
  </w:style>
  <w:style w:type="paragraph" w:customStyle="1" w:styleId="biaogeleft">
    <w:name w:val="biaoge_left"/>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25361C"/>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25361C"/>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25361C"/>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25361C"/>
    <w:pPr>
      <w:jc w:val="both"/>
    </w:pPr>
    <w:rPr>
      <w:kern w:val="2"/>
      <w:sz w:val="21"/>
      <w:szCs w:val="21"/>
    </w:rPr>
  </w:style>
  <w:style w:type="paragraph" w:customStyle="1" w:styleId="biaogeright">
    <w:name w:val="biaoge_right"/>
    <w:basedOn w:val="a"/>
    <w:qFormat/>
    <w:rsid w:val="0025361C"/>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25361C"/>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25361C"/>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25361C"/>
    <w:rPr>
      <w:rFonts w:ascii="Times New Roman" w:eastAsia="宋体" w:hAnsi="Times New Roman" w:cs="Times New Roman"/>
      <w:sz w:val="18"/>
      <w:szCs w:val="18"/>
    </w:rPr>
  </w:style>
  <w:style w:type="paragraph" w:customStyle="1" w:styleId="10">
    <w:name w:val="列出段落1"/>
    <w:basedOn w:val="a"/>
    <w:uiPriority w:val="99"/>
    <w:qFormat/>
    <w:rsid w:val="0025361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420</Words>
  <Characters>2399</Characters>
  <Application>Microsoft Office Word</Application>
  <DocSecurity>0</DocSecurity>
  <Lines>19</Lines>
  <Paragraphs>5</Paragraphs>
  <ScaleCrop>false</ScaleCrop>
  <Company>cc</Company>
  <LinksUpToDate>false</LinksUpToDate>
  <CharactersWithSpaces>2814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yytx</cp:lastModifiedBy>
  <dcterms:modified xsi:type="dcterms:W3CDTF">2026-03-27T09:10:00Z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DA7D07A671F94F61B430BF557E8AE20F</vt:lpwstr>
  </property>
</Properties>
</file>