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南银理财珠联璧合行稳半年定开9M公募人民币理财产品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南银理财珠联璧合行稳半年定开9M公募人民币理财产品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Z7003221000033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2018年09月13日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806,670,800.77</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五矿国际信托有限公司,国投泰康信托有限公司,招商基金管理有限公司,中国人保资产管理有限公司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808,873,897.35</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1.0027</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1.3171</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今年二季度产品操作稳健偏积极。二季度债券市场走势震荡偏强，利率债区间横盘震荡、信用债继续走强，信用利差持续压缩。通胀数据抬升、估值低位等机构预防性调仓因素引发了阶段性的小幅波动，但全季度资金面整体维持宽松，非银流动性也保持充裕，债券市场总体仍带来了不错的收益贡献。随着市场收益率进一步下台阶，二季度产品运作过程中操作从一季度的积极思路逐渐略转回中性，产品层面在二季度末边际下降了杠杆及久期水平，同时把握了一些利率及二级资本债的交易机会，目前的组合情况为后续的市场机会预留了一定的加仓空间。另外，在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份额净值为1.0027</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87.54%</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12.46%</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99,317,057.87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90,673,534.07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252618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23扬新03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50,297,500.00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50,264,400.00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188635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21南司02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50,069,250.00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中国人保资产中短期配置12号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50,027,711.07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40,401,960.00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254347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24丰港01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40,373,720.00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252525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23苏润04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40,272,880.00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255933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24丰港02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31,717,560.00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0120010000000139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珠联璧合行稳半年定期开放净值型人民币理财产品9M</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457060.28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16293.30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46199.15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