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南银理财珠联璧合悦稳（最低持有28天）公募人民币理财产品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南银理财珠联璧合悦稳（最低持有28天）公募人民币理财产品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Z7003223000077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2023年04月25日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3,722,323,511.30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华泰资产管理有限公司,鑫元基金管理有限公司,鑫沅资产管理有限公司,陆家嘴国际信托有限公司,太平洋资产管理有限责任公司,江苏省国际信托有限责任公司,光大永明资产管理股份有限公司,百年保险资产管理有限责任公司,长城财富保险资产管理股份有限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3,146,300,683.69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296,714,321.95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1.0803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1.0803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2,889,838.38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1.0715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1.0715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A32032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525,329,024.47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1.0825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1.0825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A32114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42,932,947.97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1.0788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1.0788</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国内债券市场大概率延续低位震荡运行格局，收益率难现单边趋势性行情，核心源于多空因素深度交织、基本面与政策面持续博弈，利率上下空间均受到约束。策略上以中性久期策略为核心，将票息收益作为组合收益的主要来源，在震荡调整中把握逢高配置窗口，灵活把握长端利率波段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A32009份额净值为1.0775元，A32010份额净值为1.0803元，A32029份额净值为1.0715元，A32032份额净值为1.0825元，A32114份额净值为1.0788</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98.77%</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1.23%</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1,187,531,486.28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29.58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692,841,790.24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17.26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杭州银行定期存款20250707</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杭州银行定期存款20250709</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兴业银行定期存款20250701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281,571,078.20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ZJQTT202509250001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257,516,719.64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201,032,633.21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112,070,059.77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XJCKX202306070001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建设银行深圳分行活期存款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55,631,187.33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1.39</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0120030000001147</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南银理财悦稳最低持有28天</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1372825.30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39380.47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106652.44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251676.39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