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1"/>
          <w:sz w:val="36"/>
          <w:szCs w:val="36"/>
        </w:rPr>
        <w:t xml:space="preserve">苏银理财启源现金6号</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苏银理财启源现金6号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2023年07月20日</w:t>
      </w:r>
      <w:r>
        <w:rPr>
          <w:rFonts w:ascii="楷体" w:eastAsia="楷体" w:hAnsi="楷体" w:cs="楷体" w:hint="eastAsia"/>
        </w:rPr>
        <w:t xml:space="preserve">成立，于</w:t>
      </w:r>
      <w:r>
        <w:rPr>
          <w:rFonts w:ascii="楷体" w:eastAsia="楷体" w:hAnsi="楷体" w:cs="楷体" w:hint="eastAsia"/>
          <w:spacing w:val="-7"/>
        </w:rPr>
        <w:t xml:space="preserve">2023年07月20日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苏银理财启源现金6号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Z7003123000103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16,790,695,205.84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16,790,695,205.84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31000188000543259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16,792,221,524.85</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0.3709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苏银理财启源现金6号B</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0.3325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苏银理财启源现金6号C</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0.3599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苏银理财启源现金6号D</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0.3599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苏银理财启源现金6号DG</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0.4092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1.48%</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苏银理财启源现金6号DG2</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0.3930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苏银理财启源现金6号E</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0.3599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苏银理财启源现金6号F</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0.3708</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苏银理财启源现金6号H</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0.3846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苏银理财启源现金6号I</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0.3572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苏银理财启源现金6号J</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0.3325</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苏银理财启源现金6号JS鑫福款</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0.3870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1.42%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苏银理财启源现金6号K</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0.3599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苏银理财启源现金6号M</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0.3846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苏银理财启源现金6号N</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0.3846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1.39%</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苏银理财启源现金6号P</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0.3599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1.30%</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苏银理财启源现金6号Q</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0.6880</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苏银理财启源现金6号S</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0.3791</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苏银理财启源现金6号T</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0.3709</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1.34%</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苏银理财启源现金6号TY</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0.4544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1.67%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苏银理财启源现金6号U</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0.6846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苏银理财启源现金6号V</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0.6846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2.53%</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苏银理财启源现金6号W</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0.3106</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1.12%</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苏银理财启源现金6号X</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0.3462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2026-06-30</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苏银理财启源现金6号（芙蓉锦程·优选）</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0.3462</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1.25%</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66.42%</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33.58%</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2</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4</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66.42%</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33.58%</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2,446,626,461.89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14.46%</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2</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25农发清发02</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401,884,560.26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2.38%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3</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拆放同业及债券买入返售</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300,143,506.56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1.77%</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4</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25国元证券CP013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债券</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202,444,054.79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1.20%</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5</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银行存款20251201</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201,966,889.36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1.19%</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6</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25光大银行CD138</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199,796,329.79</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7</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25徽商银行CD153</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199,630,470.45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8</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25北京银行CD161</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199,019,904.45</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9</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25光大银行CD224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198,971,104.28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1.18%</w:t>
            </w:r>
          </w:p>
        </w:tc>
      </w:tr>
      <w:tr>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10</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25农业银行CD434</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同业存单</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198,490,154.66</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1.17%</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567,300,228.30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2,206,929.55</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708,320.04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回购交易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219,800,000.00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苏州银行股份有限公司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16,515.68</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6,261,650.00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16,790,695,205.84</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13,375,525,857.07</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2026年二季度，在党中央坚强领导下，各地区各部门深入贯彻党中央、国务院决策部署，坚持稳中求进工作总基调，宏观政策更加积极有为。国民经济延续总体平稳、稳中有进的发展态势，生产供给稳步增长，就业物价总体稳定，高质量发展扎实推进。</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二季度经济顶住压力运行在合理区间，但供强需弱矛盾仍然存在。初步核算，上半年国内生产总值同比增长4.7%，其中二季度同比增长4.3%、环比增长0.9%；规模以上工业增加值同比增长5.4%，服务业增加值增长5.2%，社会消费品零售总额增长1.3%，固定资产投资下降5.7%，其中房地产开发投资下降18.0%。CPI同比上涨1.0%，核心CPI上涨1.2%，全国城镇调查失业率平均值为5.2%；6月制造业PMI为50.3%，景气水平有所改善。生产端较快增长，服务业和新动能支撑较强；需求端修复偏弱，地产仍是主要拖累。价格就业总体平稳，货币政策需保持支持性取向。债券市场方面，二季度收益率总体震荡下行。4月初受超长期特别国债供给预期等因素扰动，10年期国债收益率在1.81%—1.82%附近高位震荡；4月中下旬资金面转松、配置需求增强，收益率回落至1.74%以下。5月基本面数据偏弱、MLF超额续作推动债市再度走强，10年期国债收益率下行至1.71%附近。6月多空因素交织，长端利率在1.70%—1.75%区间震荡，季末10年期和1年期国债收益率分别收于1.73%和1.12%左右，期限利差走阔；信用利差总体处于低位。</w:t>
      </w:r>
      <w:r>
        <w:rPr>
          <w:rFonts w:ascii="楷体" w:eastAsia="楷体" w:hAnsi="楷体" w:cs="楷体" w:hint="eastAsia"/>
          <w:spacing w:val="8"/>
          <w:sz w:val="21"/>
        </w:rPr>
        <w:br/>
      </w:r>
      <w:r>
        <w:rPr>
          <w:rFonts w:ascii="楷体" w:eastAsia="楷体" w:hAnsi="楷体" w:cs="楷体" w:hint="eastAsia"/>
          <w:spacing w:val="8"/>
          <w:sz w:val="21"/>
        </w:rPr>
        <w:t xml:space="preserve">    报告期内，管理人严格遵循监管要求，持续加强对现金管理类产品的信用风险、久期风险、集中度风险和流动性风险的管控。资产配置策略主要集中于低风险资产，如银行存款、回购、同业存单及证券公司债，结合适度的杠杆运用和梯形策略，确保在不同资产类别和期限之间实现合理的均衡，最大程度地降低风险。面对二季度市场环境，管理人结合产品负债端情况，维持组合在指标上沿附近的久期水平，重点配置同业存单、资管计划及高等级信用债，并兼顾回购和活期资产配置，在保障流动性安全的同时提升了组合静态收益。管理人在资产配置上灵活应对，密切关注宏观经济变化，从而及时调整投资组合。管理人通过灵活的资产配置和恰当的投资策略，确保了现金管理类产品在复杂市场环境下的稳健表现，为投资者提供了更为可靠的收益保障。</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三季度，国内经济有望在积极财政政策和适度宽松货币政策支持下保持平稳运行，但内需恢复、物价、政府债券供给和风险偏好仍可能带来阶段性扰动。预计流动性合理充裕，债券收益率低位震荡，短端受资金面支撑，长端对稳增长政策和供给节奏更为敏感。债市趋势性空间收窄，关注票息、套息及收益率波动带来的结构性机会。</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坚持稳健审慎的投资策略，严格遵照监管要求，重点配置高信用等级、流动性良好的标准化债权资产和货币市场工具，灵活把握存款、回购、同业存单和高等级债券的配置时点，审慎管理久期、杠杆和集中度，在满足流动性需求的前提下争取较好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2026年二季度，市场流动性整体合理充裕。本产品配置银行存款、回购、同业存单和政策性金融债等高流动性资产，根据申赎和资金面变化合理安排资产期限，做好季末资金安排，满足投资者赎回需求。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展望后市，本产品将持续跟踪申赎和资金面变化，保持充足的高流动性资产，审慎安排资产到期与融资期限，做好流动性预案。</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523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523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523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524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2026-07-02T02:29:54Z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Office_11.8.2.11734_F1E327BC-269C-435d-A152-05C5408002CA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29</cp:revision>
  <dcterms:created xsi:type="dcterms:W3CDTF">2021-11-18T10:04:00Z</dcterms:created>
  <dcterms:modified xsi:type="dcterms:W3CDTF">2026-07-16T10:09:43Z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