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苏银理财恒源6月定开8期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苏银理财恒源6月定开8期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2022年05月18日</w:t>
      </w:r>
      <w:r>
        <w:rPr>
          <w:rFonts w:ascii="楷体" w:eastAsia="楷体" w:hAnsi="楷体" w:cs="楷体" w:hint="eastAsia"/>
        </w:rPr>
        <w:t xml:space="preserve">成立，于</w:t>
      </w:r>
      <w:r>
        <w:rPr>
          <w:rFonts w:ascii="楷体" w:eastAsia="楷体" w:hAnsi="楷体" w:cs="楷体" w:hint="eastAsia"/>
          <w:spacing w:val="-7"/>
        </w:rPr>
        <w:t xml:space="preserve">2022年05月18日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苏银理财恒源6月定开8期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Z7003122000067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204,592,670.00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204,606,222.81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31000188000488138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204,625,020.33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苏银理财恒源6月定开8期A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1.000064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1.118070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苏银理财恒源6月定开8期C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1.000068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1.122559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苏银理财恒源6月定开8期D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1.000068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1.122778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苏银理财恒源6月定开8期F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1.000064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1.099491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苏银理财恒源6月定开8期G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1.000067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1.103119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苏银理财恒源6月定开8期SX（山银晋晟）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1.000072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1.000072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0.43%</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99.57%</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0.43%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99.57%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9,139,299.61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4.45%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8,693,768.97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4.24%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26工商银行CD123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6,061,050.45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4,391,828.76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26交通银行CD117</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4,346,725.04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26交通银行CD122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4,346,377.37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24广发Y2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权益类投资</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2,733,849.09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22中国银行二级01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2,158,130.10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24扬子Y2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权益类投资</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1,886,625.10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0.92%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24国盛01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1,820,113.22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0.89%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2,618.75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11,998.37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24,608.12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204,592,670.00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236,047,293.00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经济运行呈现总体平稳、结构分化的特征，“外需维持强势、内需有所走弱”的K型分化格局是其中最突出的结构性特征，其中TMT、高端制造行业出口保持双位数甚至三位数增长，充分体现了我国的产业优势。</w:t>
      </w:r>
      <w:r>
        <w:rPr>
          <w:rFonts w:ascii="楷体" w:eastAsia="楷体" w:hAnsi="楷体" w:cs="楷体" w:hint="eastAsia"/>
          <w:spacing w:val="8"/>
          <w:sz w:val="21"/>
        </w:rPr>
        <w:br/>
      </w:r>
      <w:r>
        <w:rPr>
          <w:rFonts w:ascii="楷体" w:eastAsia="楷体" w:hAnsi="楷体" w:cs="楷体" w:hint="eastAsia"/>
          <w:spacing w:val="8"/>
          <w:sz w:val="21"/>
        </w:rPr>
        <w:t xml:space="preserve">    与此同时，美以伊战争态势有所缓和，但和平协议谈判反反复复，加上美联储利率政策趋势不明朗，给市场带来了短期扰动。</w:t>
      </w:r>
      <w:r>
        <w:rPr>
          <w:rFonts w:ascii="楷体" w:eastAsia="楷体" w:hAnsi="楷体" w:cs="楷体" w:hint="eastAsia"/>
          <w:spacing w:val="8"/>
          <w:sz w:val="21"/>
        </w:rPr>
        <w:br/>
      </w:r>
      <w:r>
        <w:rPr>
          <w:rFonts w:ascii="楷体" w:eastAsia="楷体" w:hAnsi="楷体" w:cs="楷体" w:hint="eastAsia"/>
          <w:spacing w:val="8"/>
          <w:sz w:val="21"/>
        </w:rPr>
        <w:t xml:space="preserve">    在产业层面，战争并未改变产业趋势的发展方向，TMT、高端制造、医药生物、新消费等领域的科技、产品和商业模式创新依然层出不穷，AI技术渗透到各行各业及各个技术领域，从而带来结构性的投资机会。</w:t>
      </w:r>
      <w:r>
        <w:rPr>
          <w:rFonts w:ascii="楷体" w:eastAsia="楷体" w:hAnsi="楷体" w:cs="楷体" w:hint="eastAsia"/>
          <w:spacing w:val="8"/>
          <w:sz w:val="21"/>
        </w:rPr>
        <w:br/>
      </w:r>
      <w:r>
        <w:rPr>
          <w:rFonts w:ascii="楷体" w:eastAsia="楷体" w:hAnsi="楷体" w:cs="楷体" w:hint="eastAsia"/>
          <w:spacing w:val="8"/>
          <w:sz w:val="21"/>
        </w:rPr>
        <w:t xml:space="preserve">    二季度债券市场走势领先于基本面，在4-5月份的社融数据及经济数据发布之前，债券市场收益率已形成了一波下行走势，事后数据发布对市场影响反而不大；本轮债市核心逻辑是实体部门融资需求下降与金融资产配置需求的结构性变化共同推升了银行自营和理财类资金的债券配置需求，未来大概率仍是决定债券市场走势的主要因素。</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后市，全球宏观核心矛盾集中于美国再通胀交易升温，下半年美联储或维持高利率格局，全球资产定价逻辑正从估值主导的分母端行情，逐步转向业绩主导的分子端行情，具备真实盈利支撑的资产将持续占优。国内经济正处于新旧动能转换的换挡期，宏观政策延续结构性发力基调：财政端精准聚焦“两重”“两新”托底实体，货币端维持流动性合理充裕。在此背景下，预计国内纯债市场将延续震荡格局，A股或将延续由产业趋势与业绩兑现驱动的结构性行情。</w:t>
      </w:r>
      <w:r>
        <w:rPr>
          <w:rFonts w:ascii="楷体" w:eastAsia="楷体" w:hAnsi="楷体" w:cs="楷体" w:hint="eastAsia"/>
          <w:spacing w:val="9"/>
          <w:sz w:val="21"/>
        </w:rPr>
        <w:br/>
      </w: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40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40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40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41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2026-07-17T01:54:17Z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