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4"/>
        <w:rPr>
          <w:rFonts w:hint="eastAsia"/>
          <w:b/>
          <w:color w:val="76923C" w:themeColor="accent3" w:themeShade="BF"/>
          <w:sz w:val="32"/>
          <w:szCs w:val="22"/>
          <w:highlight w:val="none"/>
        </w:rPr>
      </w:pPr>
      <w:r>
        <w:rPr>
          <w:rFonts w:hint="eastAsia"/>
          <w:b/>
          <w:color w:val="76923C" w:themeColor="accent3" w:themeShade="BF"/>
          <w:sz w:val="32"/>
          <w:szCs w:val="22"/>
          <w:highlight w:val="none"/>
          <w:lang w:val="en-US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4013200</wp:posOffset>
            </wp:positionH>
            <wp:positionV relativeFrom="paragraph">
              <wp:posOffset>74295</wp:posOffset>
            </wp:positionV>
            <wp:extent cx="2368550" cy="298450"/>
            <wp:effectExtent l="19050" t="0" r="0" b="0"/>
            <wp:wrapNone/>
            <wp:docPr id="9" name="图片 8" descr="农商行LOG-10 - 副本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农商行LOG-10 - 副本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8550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color w:val="76923C" w:themeColor="accent3" w:themeShade="BF"/>
          <w:sz w:val="32"/>
          <w:szCs w:val="22"/>
          <w:highlight w:val="none"/>
        </w:rPr>
        <w:t xml:space="preserve">  </w:t>
      </w:r>
    </w:p>
    <w:p>
      <w:pPr>
        <w:pStyle w:val="4"/>
        <w:spacing w:before="4"/>
        <w:rPr>
          <w:rFonts w:hint="eastAsia"/>
          <w:b/>
          <w:color w:val="76923C" w:themeColor="accent3" w:themeShade="BF"/>
          <w:sz w:val="32"/>
          <w:szCs w:val="22"/>
          <w:highlight w:val="none"/>
        </w:rPr>
      </w:pPr>
    </w:p>
    <w:p>
      <w:pPr>
        <w:pStyle w:val="20"/>
        <w:spacing w:line="560" w:lineRule="exact"/>
        <w:ind w:firstLine="0" w:firstLineChars="0"/>
        <w:jc w:val="center"/>
        <w:rPr>
          <w:rFonts w:hint="eastAsia" w:ascii="宋体" w:hAnsi="宋体" w:eastAsia="宋体" w:cs="宋体"/>
          <w:b/>
          <w:sz w:val="41"/>
          <w:szCs w:val="41"/>
          <w:highlight w:val="none"/>
        </w:rPr>
      </w:pPr>
      <w:r>
        <w:rPr>
          <w:rFonts w:hint="eastAsia" w:ascii="宋体" w:hAnsi="宋体" w:eastAsia="宋体" w:cs="宋体"/>
          <w:b/>
          <w:sz w:val="41"/>
          <w:szCs w:val="41"/>
          <w:highlight w:val="none"/>
          <w:lang w:val="en-US" w:eastAsia="zh-CN"/>
        </w:rPr>
        <w:t>江苏江阴农村商业银行股份有限公司</w:t>
      </w:r>
      <w:r>
        <w:rPr>
          <w:rFonts w:hint="eastAsia" w:ascii="宋体" w:hAnsi="宋体" w:eastAsia="宋体" w:cs="宋体"/>
          <w:b/>
          <w:sz w:val="41"/>
          <w:szCs w:val="41"/>
          <w:highlight w:val="none"/>
        </w:rPr>
        <w:t>理财业务</w:t>
      </w:r>
    </w:p>
    <w:p>
      <w:pPr>
        <w:pStyle w:val="20"/>
        <w:spacing w:line="560" w:lineRule="exact"/>
        <w:ind w:firstLine="0" w:firstLineChars="0"/>
        <w:jc w:val="center"/>
        <w:rPr>
          <w:rFonts w:hint="eastAsia" w:ascii="宋体" w:hAnsi="宋体" w:eastAsia="宋体" w:cs="宋体"/>
          <w:sz w:val="41"/>
          <w:szCs w:val="41"/>
          <w:highlight w:val="none"/>
          <w:lang w:eastAsia="zh-CN"/>
        </w:rPr>
      </w:pPr>
      <w:r>
        <w:rPr>
          <w:rFonts w:hint="eastAsia" w:ascii="宋体" w:hAnsi="宋体" w:eastAsia="宋体" w:cs="宋体"/>
          <w:b/>
          <w:sz w:val="41"/>
          <w:szCs w:val="41"/>
          <w:highlight w:val="none"/>
          <w:lang w:val="en-US" w:eastAsia="zh-CN"/>
        </w:rPr>
        <w:t>2026</w:t>
      </w:r>
      <w:r>
        <w:rPr>
          <w:rFonts w:hint="eastAsia" w:ascii="宋体" w:hAnsi="宋体" w:eastAsia="宋体" w:cs="宋体"/>
          <w:b/>
          <w:sz w:val="41"/>
          <w:szCs w:val="41"/>
          <w:highlight w:val="none"/>
          <w:lang w:val="en-US" w:eastAsia="zh-CN"/>
        </w:rPr>
        <w:t>年半年度报告</w:t>
      </w:r>
    </w:p>
    <w:p>
      <w:pPr>
        <w:spacing w:after="0" w:line="288" w:lineRule="auto"/>
        <w:ind w:firstLine="560" w:firstLineChars="200"/>
        <w:jc w:val="center"/>
        <w:rPr>
          <w:rFonts w:hint="eastAsia" w:ascii="宋体" w:hAnsi="宋体" w:eastAsia="宋体" w:cs="宋体"/>
          <w:kern w:val="0"/>
          <w:sz w:val="28"/>
          <w:highlight w:val="none"/>
        </w:rPr>
      </w:pPr>
      <w:r>
        <w:rPr>
          <w:rFonts w:hint="eastAsia" w:ascii="宋体" w:hAnsi="宋体" w:eastAsia="宋体" w:cs="宋体"/>
          <w:kern w:val="0"/>
          <w:sz w:val="28"/>
          <w:highlight w:val="none"/>
        </w:rPr>
        <w:t>报告期：</w:t>
      </w:r>
      <w:r>
        <w:rPr>
          <w:rFonts w:hint="eastAsia" w:ascii="宋体" w:hAnsi="宋体" w:eastAsia="宋体" w:cs="宋体"/>
          <w:kern w:val="0"/>
          <w:sz w:val="28"/>
          <w:highlight w:val="none"/>
          <w:lang w:val="en-US" w:eastAsia="zh-CN"/>
        </w:rPr>
        <w:t>2026年1月1日至2026年6月30日</w:t>
      </w:r>
    </w:p>
    <w:p>
      <w:pPr>
        <w:pStyle w:val="20"/>
        <w:spacing w:line="560" w:lineRule="exact"/>
        <w:ind w:firstLine="0" w:firstLineChars="0"/>
        <w:jc w:val="center"/>
        <w:rPr>
          <w:rFonts w:hint="eastAsia" w:ascii="宋体" w:hAnsi="宋体" w:eastAsia="宋体" w:cs="宋体"/>
          <w:sz w:val="32"/>
          <w:szCs w:val="41"/>
          <w:highlight w:val="none"/>
        </w:rPr>
      </w:pPr>
    </w:p>
    <w:p>
      <w:pPr>
        <w:pStyle w:val="20"/>
        <w:spacing w:line="560" w:lineRule="exact"/>
        <w:ind w:firstLine="0" w:firstLineChars="0"/>
        <w:jc w:val="center"/>
        <w:rPr>
          <w:rFonts w:hint="eastAsia" w:ascii="宋体" w:hAnsi="宋体" w:eastAsia="宋体" w:cs="宋体"/>
          <w:sz w:val="32"/>
          <w:szCs w:val="41"/>
          <w:highlight w:val="none"/>
        </w:rPr>
      </w:pPr>
    </w:p>
    <w:tbl>
      <w:tblPr>
        <w:tblStyle w:val="8"/>
        <w:tblW w:w="9776" w:type="dxa"/>
        <w:tblInd w:w="0" w:type="dxa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6"/>
      </w:tblGrid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9776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shd w:val="clear" w:color="auto" w:fill="auto"/>
          </w:tcPr>
          <w:p>
            <w:pPr>
              <w:spacing w:before="93" w:beforeLines="30" w:after="0" w:line="288" w:lineRule="auto"/>
              <w:ind w:firstLine="480" w:firstLineChars="200"/>
              <w:rPr>
                <w:rFonts w:hint="eastAsia" w:ascii="宋体" w:hAnsi="宋体" w:eastAsia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kern w:val="0"/>
                <w:sz w:val="24"/>
                <w:highlight w:val="none"/>
                <w:lang w:val="en-US" w:eastAsia="zh-CN"/>
              </w:rPr>
              <w:t>江苏江阴农村商业银行股份有限公司</w:t>
            </w:r>
            <w:r>
              <w:rPr>
                <w:rFonts w:hint="eastAsia" w:ascii="宋体" w:hAnsi="宋体" w:eastAsia="宋体" w:cs="宋体"/>
                <w:i/>
                <w:iCs/>
                <w:kern w:val="0"/>
                <w:sz w:val="24"/>
                <w:highlight w:val="none"/>
              </w:rPr>
              <w:t>保证本报告所载资料不存在虚假记载、误导性陈述或重大遗漏，并对其内容的真实性、准确性和完整性承担个别及连带的法律责任。理财产品管理人承诺以诚实信用、勤勉尽责的原则管理和运用资产，但不保证产品一定盈利。产品过往业绩并不代表其未来表现。理财非存款，投资需谨慎。</w:t>
            </w:r>
          </w:p>
        </w:tc>
      </w:tr>
    </w:tbl>
    <w:p>
      <w:pPr>
        <w:pStyle w:val="20"/>
        <w:spacing w:line="560" w:lineRule="exact"/>
        <w:ind w:firstLine="0" w:firstLineChars="0"/>
        <w:jc w:val="center"/>
        <w:rPr>
          <w:rFonts w:hint="eastAsia" w:ascii="宋体" w:hAnsi="宋体" w:eastAsia="宋体" w:cs="宋体"/>
          <w:sz w:val="32"/>
          <w:szCs w:val="41"/>
          <w:highlight w:val="none"/>
        </w:rPr>
      </w:pPr>
    </w:p>
    <w:p>
      <w:pPr>
        <w:pStyle w:val="20"/>
        <w:spacing w:line="560" w:lineRule="exact"/>
        <w:ind w:firstLine="0" w:firstLineChars="0"/>
        <w:jc w:val="center"/>
        <w:rPr>
          <w:rFonts w:hint="eastAsia" w:ascii="宋体" w:hAnsi="宋体" w:eastAsia="宋体" w:cs="宋体"/>
          <w:sz w:val="32"/>
          <w:szCs w:val="41"/>
          <w:highlight w:val="none"/>
        </w:rPr>
      </w:pPr>
    </w:p>
    <w:p>
      <w:pPr>
        <w:pStyle w:val="20"/>
        <w:spacing w:line="560" w:lineRule="exact"/>
        <w:ind w:firstLine="0" w:firstLineChars="0"/>
        <w:jc w:val="center"/>
        <w:rPr>
          <w:rFonts w:hint="eastAsia" w:ascii="宋体" w:hAnsi="宋体" w:eastAsia="宋体" w:cs="宋体"/>
          <w:sz w:val="32"/>
          <w:szCs w:val="41"/>
          <w:highlight w:val="none"/>
        </w:rPr>
      </w:pPr>
    </w:p>
    <w:p>
      <w:pPr>
        <w:pStyle w:val="20"/>
        <w:spacing w:line="560" w:lineRule="exact"/>
        <w:ind w:firstLine="0" w:firstLineChars="0"/>
        <w:jc w:val="center"/>
        <w:rPr>
          <w:rFonts w:hint="eastAsia" w:ascii="宋体" w:hAnsi="宋体" w:eastAsia="宋体" w:cs="宋体"/>
          <w:sz w:val="32"/>
          <w:szCs w:val="41"/>
          <w:highlight w:val="none"/>
        </w:rPr>
      </w:pPr>
    </w:p>
    <w:p>
      <w:pPr>
        <w:pStyle w:val="20"/>
        <w:spacing w:line="560" w:lineRule="exact"/>
        <w:ind w:firstLine="0" w:firstLineChars="0"/>
        <w:jc w:val="center"/>
        <w:rPr>
          <w:rFonts w:hint="eastAsia" w:ascii="宋体" w:hAnsi="宋体" w:eastAsia="宋体" w:cs="宋体"/>
          <w:sz w:val="32"/>
          <w:szCs w:val="41"/>
          <w:highlight w:val="none"/>
        </w:rPr>
      </w:pPr>
    </w:p>
    <w:p>
      <w:pPr>
        <w:pStyle w:val="20"/>
        <w:spacing w:line="560" w:lineRule="exact"/>
        <w:ind w:firstLine="0" w:firstLineChars="0"/>
        <w:jc w:val="center"/>
        <w:rPr>
          <w:rFonts w:hint="eastAsia" w:ascii="宋体" w:hAnsi="宋体" w:eastAsia="宋体" w:cs="宋体"/>
          <w:sz w:val="32"/>
          <w:szCs w:val="41"/>
          <w:highlight w:val="none"/>
        </w:rPr>
      </w:pPr>
    </w:p>
    <w:p>
      <w:pPr>
        <w:spacing w:after="0" w:line="288" w:lineRule="auto"/>
        <w:ind w:firstLine="2240" w:firstLineChars="800"/>
        <w:rPr>
          <w:rFonts w:hint="eastAsia" w:ascii="宋体" w:hAnsi="宋体" w:eastAsia="宋体" w:cs="宋体"/>
          <w:kern w:val="0"/>
          <w:sz w:val="28"/>
          <w:highlight w:val="none"/>
        </w:rPr>
      </w:pPr>
      <w:r>
        <w:rPr>
          <w:rFonts w:hint="eastAsia" w:ascii="宋体" w:hAnsi="宋体" w:eastAsia="宋体" w:cs="宋体"/>
          <w:kern w:val="0"/>
          <w:sz w:val="28"/>
          <w:highlight w:val="none"/>
        </w:rPr>
        <w:t>公司名称：</w:t>
      </w:r>
      <w:r>
        <w:rPr>
          <w:rFonts w:hint="eastAsia" w:ascii="宋体" w:hAnsi="宋体" w:eastAsia="宋体" w:cs="宋体"/>
          <w:kern w:val="0"/>
          <w:sz w:val="28"/>
          <w:highlight w:val="none"/>
          <w:lang w:val="en-US" w:eastAsia="zh-CN"/>
        </w:rPr>
        <w:t>江苏江阴农村商业银行股份有限公司</w:t>
      </w:r>
    </w:p>
    <w:p>
      <w:pPr>
        <w:spacing w:after="0" w:line="288" w:lineRule="auto"/>
        <w:ind w:firstLine="2240" w:firstLineChars="800"/>
        <w:rPr>
          <w:rFonts w:hint="eastAsia" w:ascii="宋体" w:hAnsi="宋体" w:eastAsia="宋体" w:cs="宋体"/>
          <w:kern w:val="0"/>
          <w:sz w:val="28"/>
          <w:highlight w:val="none"/>
        </w:rPr>
      </w:pPr>
      <w:r>
        <w:rPr>
          <w:rFonts w:hint="eastAsia" w:ascii="宋体" w:hAnsi="宋体" w:eastAsia="宋体" w:cs="宋体"/>
          <w:kern w:val="0"/>
          <w:sz w:val="28"/>
          <w:highlight w:val="none"/>
        </w:rPr>
        <w:t>注册地址：</w:t>
      </w:r>
      <w:r>
        <w:rPr>
          <w:rFonts w:hint="eastAsia" w:ascii="宋体" w:hAnsi="宋体" w:eastAsia="宋体" w:cs="宋体"/>
          <w:kern w:val="0"/>
          <w:sz w:val="28"/>
          <w:highlight w:val="none"/>
          <w:lang w:val="en-US" w:eastAsia="zh-CN"/>
        </w:rPr>
        <w:t>江阴市澄江中路1号</w:t>
      </w:r>
    </w:p>
    <w:p>
      <w:pPr>
        <w:spacing w:after="0" w:line="288" w:lineRule="auto"/>
        <w:ind w:firstLine="2240" w:firstLineChars="800"/>
        <w:rPr>
          <w:rFonts w:hint="eastAsia" w:ascii="宋体" w:hAnsi="宋体" w:eastAsia="宋体" w:cs="宋体"/>
          <w:kern w:val="0"/>
          <w:sz w:val="28"/>
          <w:highlight w:val="none"/>
        </w:rPr>
      </w:pPr>
      <w:r>
        <w:rPr>
          <w:rFonts w:hint="eastAsia" w:ascii="宋体" w:hAnsi="宋体" w:eastAsia="宋体" w:cs="宋体"/>
          <w:kern w:val="0"/>
          <w:sz w:val="28"/>
          <w:highlight w:val="none"/>
        </w:rPr>
        <w:t>理财业务官网：http://www.jybank.com.cn/</w:t>
      </w:r>
    </w:p>
    <w:p>
      <w:pPr>
        <w:spacing w:after="0" w:line="288" w:lineRule="auto"/>
        <w:ind w:firstLine="2240" w:firstLineChars="800"/>
        <w:rPr>
          <w:rFonts w:hint="eastAsia" w:ascii="宋体" w:hAnsi="宋体" w:eastAsia="宋体" w:cs="宋体"/>
          <w:b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kern w:val="0"/>
          <w:sz w:val="28"/>
          <w:highlight w:val="none"/>
        </w:rPr>
        <w:t>报告送出日期：</w:t>
      </w:r>
      <w:r>
        <w:rPr>
          <w:rFonts w:hint="eastAsia" w:ascii="宋体" w:hAnsi="宋体" w:eastAsia="宋体" w:cs="宋体"/>
          <w:kern w:val="0"/>
          <w:sz w:val="28"/>
          <w:highlight w:val="none"/>
          <w:lang w:val="en-US" w:eastAsia="zh-CN"/>
        </w:rPr>
        <w:t>2026年7月15日</w:t>
      </w:r>
    </w:p>
    <w:p>
      <w:pPr>
        <w:pStyle w:val="4"/>
        <w:spacing w:before="4"/>
        <w:rPr>
          <w:rFonts w:hint="eastAsia"/>
          <w:b/>
          <w:color w:val="76923C" w:themeColor="accent3" w:themeShade="BF"/>
          <w:sz w:val="32"/>
          <w:szCs w:val="22"/>
          <w:highlight w:val="none"/>
        </w:rPr>
      </w:pPr>
    </w:p>
    <w:p>
      <w:pPr>
        <w:pStyle w:val="4"/>
        <w:spacing w:before="4"/>
        <w:rPr>
          <w:rFonts w:hint="eastAsia"/>
          <w:b/>
          <w:color w:val="76923C" w:themeColor="accent3" w:themeShade="BF"/>
          <w:sz w:val="32"/>
          <w:szCs w:val="22"/>
          <w:highlight w:val="none"/>
        </w:rPr>
      </w:pPr>
    </w:p>
    <w:p>
      <w:pPr>
        <w:pStyle w:val="4"/>
        <w:spacing w:before="4"/>
        <w:rPr>
          <w:rFonts w:hint="eastAsia"/>
          <w:b/>
          <w:color w:val="76923C" w:themeColor="accent3" w:themeShade="BF"/>
          <w:sz w:val="32"/>
          <w:szCs w:val="22"/>
          <w:highlight w:val="none"/>
        </w:rPr>
      </w:pPr>
    </w:p>
    <w:p>
      <w:pPr>
        <w:pStyle w:val="4"/>
        <w:spacing w:before="4"/>
        <w:rPr>
          <w:rFonts w:hint="eastAsia"/>
          <w:b/>
          <w:color w:val="76923C" w:themeColor="accent3" w:themeShade="BF"/>
          <w:sz w:val="32"/>
          <w:szCs w:val="22"/>
          <w:highlight w:val="none"/>
        </w:rPr>
      </w:pPr>
    </w:p>
    <w:p>
      <w:pPr>
        <w:pStyle w:val="4"/>
        <w:spacing w:before="4"/>
        <w:rPr>
          <w:rFonts w:hint="eastAsia"/>
          <w:b/>
          <w:color w:val="76923C" w:themeColor="accent3" w:themeShade="BF"/>
          <w:sz w:val="32"/>
          <w:szCs w:val="22"/>
          <w:highlight w:val="none"/>
        </w:rPr>
      </w:pPr>
    </w:p>
    <w:p>
      <w:pPr>
        <w:pStyle w:val="4"/>
        <w:spacing w:before="4"/>
        <w:rPr>
          <w:rFonts w:hint="eastAsia"/>
          <w:b/>
          <w:color w:val="76923C" w:themeColor="accent3" w:themeShade="BF"/>
          <w:sz w:val="32"/>
          <w:szCs w:val="22"/>
          <w:highlight w:val="none"/>
        </w:rPr>
      </w:pPr>
    </w:p>
    <w:p>
      <w:pPr>
        <w:pStyle w:val="4"/>
        <w:spacing w:before="4"/>
        <w:rPr>
          <w:rFonts w:hint="eastAsia"/>
          <w:b/>
          <w:color w:val="76923C" w:themeColor="accent3" w:themeShade="BF"/>
          <w:sz w:val="32"/>
          <w:szCs w:val="22"/>
          <w:highlight w:val="none"/>
        </w:rPr>
      </w:pPr>
    </w:p>
    <w:p>
      <w:pPr>
        <w:pStyle w:val="4"/>
        <w:spacing w:before="4"/>
        <w:rPr>
          <w:b/>
          <w:sz w:val="16"/>
          <w:highlight w:val="none"/>
        </w:rPr>
      </w:pPr>
    </w:p>
    <w:p>
      <w:pPr>
        <w:pStyle w:val="12"/>
        <w:spacing w:before="37" w:line="360" w:lineRule="auto"/>
        <w:jc w:val="center"/>
        <w:rPr>
          <w:color w:val="A68748"/>
          <w:highlight w:val="none"/>
        </w:rPr>
      </w:pPr>
      <w:r>
        <w:rPr>
          <w:color w:val="A68748"/>
          <w:highlight w:val="none"/>
        </w:rPr>
        <w:t>芙蓉理财简介</w:t>
      </w:r>
    </w:p>
    <w:p>
      <w:pPr>
        <w:pStyle w:val="4"/>
        <w:spacing w:line="276" w:lineRule="auto"/>
        <w:ind w:firstLine="735" w:firstLineChars="350"/>
        <w:rPr>
          <w:highlight w:val="none"/>
        </w:rPr>
      </w:pPr>
      <w:r>
        <w:rPr>
          <w:rFonts w:hint="eastAsia"/>
          <w:highlight w:val="none"/>
        </w:rPr>
        <w:t>江阴农商银行是全国首批改制成立、全国首批获准跨区域发展、全国首家</w:t>
      </w:r>
      <w:r>
        <w:rPr>
          <w:highlight w:val="none"/>
        </w:rPr>
        <w:t>A股上市的农商银行。一直以来，本行秉承“融通天下，丰裕万家”的企业使命，坚定服务“三农”的宗旨，坚持服务中小微企业和城乡社区的市场定位，秉承“离您最近，和你最亲”的服务理念，积极构建普惠金融服务体系。</w:t>
      </w:r>
    </w:p>
    <w:p>
      <w:pPr>
        <w:pStyle w:val="4"/>
        <w:spacing w:line="276" w:lineRule="auto"/>
        <w:ind w:firstLine="735" w:firstLineChars="350"/>
        <w:rPr>
          <w:highlight w:val="none"/>
        </w:rPr>
      </w:pPr>
      <w:r>
        <w:rPr>
          <w:rFonts w:hint="eastAsia"/>
          <w:highlight w:val="none"/>
          <w:lang w:eastAsia="zh-CN"/>
        </w:rPr>
        <w:t>我行</w:t>
      </w:r>
      <w:r>
        <w:rPr>
          <w:highlight w:val="none"/>
        </w:rPr>
        <w:t>在秉承“稳健经营”的发展思路，深入研究市场变化，客户需求和严控风险的基础上推出“芙蓉”系列净值型理财产品。“芙蓉”取自江阴市花，寓意富贵吉祥。产品完全符合资管新规和理财新规的要求，同时又具有浓厚的江阴特色。</w:t>
      </w:r>
    </w:p>
    <w:p>
      <w:pPr>
        <w:pStyle w:val="2"/>
        <w:jc w:val="center"/>
        <w:rPr>
          <w:rFonts w:hint="eastAsia" w:ascii="宋体" w:hAnsi="宋体" w:eastAsia="宋体" w:cs="宋体"/>
          <w:b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sz w:val="30"/>
          <w:szCs w:val="30"/>
          <w:highlight w:val="none"/>
        </w:rPr>
        <w:t>第一章 主要业务数据</w:t>
      </w:r>
    </w:p>
    <w:p>
      <w:pPr>
        <w:pStyle w:val="3"/>
        <w:rPr>
          <w:rFonts w:hint="eastAsia" w:ascii="宋体" w:hAnsi="宋体" w:eastAsia="宋体" w:cs="宋体"/>
          <w:b w:val="0"/>
          <w:sz w:val="24"/>
          <w:highlight w:val="none"/>
        </w:rPr>
      </w:pPr>
      <w:bookmarkStart w:id="0" w:name="_Toc193947512"/>
      <w:bookmarkStart w:id="1" w:name="_Toc194312019"/>
      <w:bookmarkStart w:id="2" w:name="_Toc6408588"/>
      <w:r>
        <w:rPr>
          <w:rFonts w:hint="eastAsia" w:ascii="宋体" w:hAnsi="宋体" w:eastAsia="宋体" w:cs="宋体"/>
          <w:b w:val="0"/>
          <w:sz w:val="30"/>
          <w:szCs w:val="30"/>
          <w:highlight w:val="none"/>
        </w:rPr>
        <w:t>1.1 报告期内</w:t>
      </w:r>
      <w:bookmarkEnd w:id="0"/>
      <w:bookmarkEnd w:id="1"/>
      <w:bookmarkEnd w:id="2"/>
      <w:r>
        <w:rPr>
          <w:rFonts w:hint="eastAsia" w:ascii="宋体" w:hAnsi="宋体" w:eastAsia="宋体" w:cs="宋体"/>
          <w:b w:val="0"/>
          <w:sz w:val="30"/>
          <w:szCs w:val="30"/>
          <w:highlight w:val="none"/>
        </w:rPr>
        <w:t>新发产品</w:t>
      </w:r>
    </w:p>
    <w:tbl>
      <w:tblPr>
        <w:tblStyle w:val="8"/>
        <w:tblW w:w="106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2250"/>
        <w:gridCol w:w="657"/>
        <w:gridCol w:w="912"/>
        <w:gridCol w:w="1246"/>
        <w:gridCol w:w="900"/>
        <w:gridCol w:w="669"/>
        <w:gridCol w:w="923"/>
        <w:gridCol w:w="1304"/>
        <w:gridCol w:w="9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40" w:type="dxa"/>
            <w:gridSpan w:val="2"/>
            <w:vMerge w:val="restart"/>
            <w:shd w:val="clear" w:color="auto" w:fill="76923C" w:themeFill="accent3" w:themeFillShade="BF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highlight w:val="none"/>
              </w:rPr>
              <w:t>产品类别</w:t>
            </w:r>
          </w:p>
        </w:tc>
        <w:tc>
          <w:tcPr>
            <w:tcW w:w="3715" w:type="dxa"/>
            <w:gridSpan w:val="4"/>
            <w:shd w:val="clear" w:color="auto" w:fill="76923C" w:themeFill="accent3" w:themeFillShade="BF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highlight w:val="none"/>
              </w:rPr>
              <w:t>本期</w:t>
            </w:r>
          </w:p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highlight w:val="none"/>
                <w:lang w:val="en-US" w:eastAsia="zh-CN"/>
              </w:rPr>
              <w:t>2026年1月1日-2026年6月30日</w:t>
            </w:r>
          </w:p>
        </w:tc>
        <w:tc>
          <w:tcPr>
            <w:tcW w:w="3826" w:type="dxa"/>
            <w:gridSpan w:val="4"/>
            <w:shd w:val="clear" w:color="auto" w:fill="76923C" w:themeFill="accent3" w:themeFillShade="BF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金标宋体" w:hAnsi="金标宋体" w:eastAsia="金标宋体" w:cs="金标宋体"/>
                <w:kern w:val="0"/>
                <w:highlight w:val="none"/>
              </w:rPr>
            </w:pPr>
            <w:r>
              <w:rPr>
                <w:rFonts w:hint="eastAsia" w:ascii="金标宋体" w:hAnsi="金标宋体" w:eastAsia="金标宋体" w:cs="金标宋体"/>
                <w:kern w:val="0"/>
                <w:highlight w:val="none"/>
                <w:lang w:val="en-US" w:eastAsia="zh-CN"/>
              </w:rPr>
              <w:t>上</w:t>
            </w:r>
            <w:r>
              <w:rPr>
                <w:rFonts w:hint="eastAsia" w:ascii="金标宋体" w:hAnsi="金标宋体" w:eastAsia="金标宋体" w:cs="金标宋体"/>
                <w:kern w:val="0"/>
                <w:highlight w:val="none"/>
              </w:rPr>
              <w:t>期</w:t>
            </w:r>
          </w:p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highlight w:val="none"/>
                <w:lang w:val="en-US" w:eastAsia="zh-CN"/>
              </w:rPr>
              <w:t>2025年7月1日-2025年12月31日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40" w:type="dxa"/>
            <w:gridSpan w:val="2"/>
            <w:vMerge w:val="continue"/>
            <w:shd w:val="clear" w:color="auto" w:fill="76923C" w:themeFill="accent3" w:themeFillShade="BF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highlight w:val="none"/>
              </w:rPr>
            </w:pPr>
          </w:p>
        </w:tc>
        <w:tc>
          <w:tcPr>
            <w:tcW w:w="657" w:type="dxa"/>
            <w:shd w:val="clear" w:color="auto" w:fill="76923C" w:themeFill="accent3" w:themeFillShade="BF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highlight w:val="none"/>
              </w:rPr>
              <w:t>数量(只)</w:t>
            </w:r>
          </w:p>
        </w:tc>
        <w:tc>
          <w:tcPr>
            <w:tcW w:w="912" w:type="dxa"/>
            <w:shd w:val="clear" w:color="auto" w:fill="76923C" w:themeFill="accent3" w:themeFillShade="BF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highlight w:val="none"/>
              </w:rPr>
              <w:t>占比</w:t>
            </w:r>
          </w:p>
        </w:tc>
        <w:tc>
          <w:tcPr>
            <w:tcW w:w="1246" w:type="dxa"/>
            <w:shd w:val="clear" w:color="auto" w:fill="76923C" w:themeFill="accent3" w:themeFillShade="BF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highlight w:val="none"/>
              </w:rPr>
              <w:t>金额(万元)</w:t>
            </w:r>
          </w:p>
        </w:tc>
        <w:tc>
          <w:tcPr>
            <w:tcW w:w="900" w:type="dxa"/>
            <w:shd w:val="clear" w:color="auto" w:fill="76923C" w:themeFill="accent3" w:themeFillShade="BF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highlight w:val="none"/>
              </w:rPr>
              <w:t>占比</w:t>
            </w:r>
          </w:p>
        </w:tc>
        <w:tc>
          <w:tcPr>
            <w:tcW w:w="669" w:type="dxa"/>
            <w:shd w:val="clear" w:color="auto" w:fill="76923C" w:themeFill="accent3" w:themeFillShade="BF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highlight w:val="none"/>
              </w:rPr>
            </w:pPr>
            <w:r>
              <w:rPr>
                <w:rFonts w:hint="eastAsia" w:ascii="金标宋体" w:hAnsi="金标宋体" w:eastAsia="金标宋体" w:cs="金标宋体"/>
                <w:kern w:val="0"/>
                <w:highlight w:val="none"/>
              </w:rPr>
              <w:t>数量(只)</w:t>
            </w:r>
          </w:p>
        </w:tc>
        <w:tc>
          <w:tcPr>
            <w:tcW w:w="923" w:type="dxa"/>
            <w:shd w:val="clear" w:color="auto" w:fill="76923C" w:themeFill="accent3" w:themeFillShade="BF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highlight w:val="none"/>
              </w:rPr>
            </w:pPr>
            <w:r>
              <w:rPr>
                <w:rFonts w:hint="eastAsia" w:ascii="金标宋体" w:hAnsi="金标宋体" w:eastAsia="金标宋体" w:cs="金标宋体"/>
                <w:kern w:val="0"/>
                <w:highlight w:val="none"/>
              </w:rPr>
              <w:t>占比</w:t>
            </w:r>
          </w:p>
        </w:tc>
        <w:tc>
          <w:tcPr>
            <w:tcW w:w="1304" w:type="dxa"/>
            <w:shd w:val="clear" w:color="auto" w:fill="76923C" w:themeFill="accent3" w:themeFillShade="BF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highlight w:val="none"/>
              </w:rPr>
            </w:pPr>
            <w:r>
              <w:rPr>
                <w:rFonts w:hint="eastAsia" w:ascii="金标宋体" w:hAnsi="金标宋体" w:eastAsia="金标宋体" w:cs="金标宋体"/>
                <w:kern w:val="0"/>
                <w:highlight w:val="none"/>
              </w:rPr>
              <w:t>金额(万元)</w:t>
            </w:r>
          </w:p>
        </w:tc>
        <w:tc>
          <w:tcPr>
            <w:tcW w:w="930" w:type="dxa"/>
            <w:shd w:val="clear" w:color="auto" w:fill="76923C" w:themeFill="accent3" w:themeFillShade="BF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highlight w:val="none"/>
              </w:rPr>
            </w:pPr>
            <w:r>
              <w:rPr>
                <w:rFonts w:hint="eastAsia" w:ascii="金标宋体" w:hAnsi="金标宋体" w:eastAsia="金标宋体" w:cs="金标宋体"/>
                <w:kern w:val="0"/>
                <w:highlight w:val="none"/>
              </w:rPr>
              <w:t>占比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90" w:type="dxa"/>
            <w:vMerge w:val="restart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</w:rPr>
              <w:t>按募集方式</w:t>
            </w:r>
          </w:p>
        </w:tc>
        <w:tc>
          <w:tcPr>
            <w:tcW w:w="2250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</w:rPr>
              <w:t>公募产品</w:t>
            </w:r>
          </w:p>
        </w:tc>
        <w:tc>
          <w:tcPr>
            <w:tcW w:w="657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宋体" w:hAnsi="宋体" w:eastAsia="宋体" w:cs="宋体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  <w:t>0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宋体" w:hAnsi="宋体" w:eastAsia="宋体" w:cs="宋体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  <w:t>0.0%</w:t>
            </w:r>
          </w:p>
        </w:tc>
        <w:tc>
          <w:tcPr>
            <w:tcW w:w="1246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zh-CN"/>
              </w:rPr>
              <w:t>675254.54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  <w:t>100.0%</w:t>
            </w:r>
          </w:p>
        </w:tc>
        <w:tc>
          <w:tcPr>
            <w:tcW w:w="669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  <w:t>4</w:t>
            </w:r>
          </w:p>
        </w:tc>
        <w:tc>
          <w:tcPr>
            <w:tcW w:w="923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  <w:t>100.0%</w:t>
            </w:r>
          </w:p>
        </w:tc>
        <w:tc>
          <w:tcPr>
            <w:tcW w:w="1304" w:type="dxa"/>
            <w:shd w:val="clear" w:color="auto" w:fill="auto"/>
            <w:vAlign w:val="bottom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  <w:t>795580.19</w:t>
            </w:r>
          </w:p>
        </w:tc>
        <w:tc>
          <w:tcPr>
            <w:tcW w:w="930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100.0%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90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kern w:val="0"/>
                <w:highlight w:val="none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</w:rPr>
              <w:t>私募产品</w:t>
            </w:r>
          </w:p>
        </w:tc>
        <w:tc>
          <w:tcPr>
            <w:tcW w:w="657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zh-CN"/>
              </w:rPr>
              <w:t>0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zh-CN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0</w:t>
            </w:r>
            <w:r>
              <w:rPr>
                <w:rFonts w:hint="eastAsia" w:ascii="金标宋体" w:hAnsi="金标宋体" w:eastAsia="金标宋体" w:cs="金标宋体"/>
                <w:highlight w:val="none"/>
                <w:lang w:val="en-US" w:eastAsia="zh-CN"/>
              </w:rPr>
              <w:t>.0</w:t>
            </w: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%</w:t>
            </w:r>
          </w:p>
        </w:tc>
        <w:tc>
          <w:tcPr>
            <w:tcW w:w="1246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宋体" w:hAnsi="宋体" w:eastAsia="宋体" w:cs="宋体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  <w:t>0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zh-CN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0.0%</w:t>
            </w:r>
          </w:p>
        </w:tc>
        <w:tc>
          <w:tcPr>
            <w:tcW w:w="669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zh-CN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0</w:t>
            </w:r>
            <w:r>
              <w:rPr>
                <w:rFonts w:hint="eastAsia" w:ascii="金标宋体" w:hAnsi="金标宋体" w:eastAsia="金标宋体" w:cs="金标宋体"/>
                <w:highlight w:val="none"/>
                <w:lang w:val="en-US" w:eastAsia="zh-CN"/>
              </w:rPr>
              <w:t>.0</w:t>
            </w: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%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  <w:t>0</w:t>
            </w:r>
          </w:p>
        </w:tc>
        <w:tc>
          <w:tcPr>
            <w:tcW w:w="930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0.0%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90" w:type="dxa"/>
            <w:vMerge w:val="restart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</w:rPr>
              <w:t>按投资性质</w:t>
            </w:r>
          </w:p>
        </w:tc>
        <w:tc>
          <w:tcPr>
            <w:tcW w:w="2250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</w:rPr>
              <w:t>固定收益类</w:t>
            </w:r>
          </w:p>
        </w:tc>
        <w:tc>
          <w:tcPr>
            <w:tcW w:w="657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  <w:t>0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  <w:t>0.0%</w:t>
            </w:r>
          </w:p>
        </w:tc>
        <w:tc>
          <w:tcPr>
            <w:tcW w:w="1246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zh-CN"/>
              </w:rPr>
              <w:t>675254.54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  <w:t>100.0%</w:t>
            </w:r>
          </w:p>
        </w:tc>
        <w:tc>
          <w:tcPr>
            <w:tcW w:w="669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zh-CN"/>
              </w:rPr>
              <w:t>4</w:t>
            </w:r>
          </w:p>
        </w:tc>
        <w:tc>
          <w:tcPr>
            <w:tcW w:w="923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  <w:t>100.0%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  <w:t>795580.19</w:t>
            </w:r>
          </w:p>
        </w:tc>
        <w:tc>
          <w:tcPr>
            <w:tcW w:w="930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100.0%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90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kern w:val="0"/>
                <w:highlight w:val="none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</w:rPr>
              <w:t>权益类</w:t>
            </w:r>
          </w:p>
        </w:tc>
        <w:tc>
          <w:tcPr>
            <w:tcW w:w="657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  <w:t>0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/>
              </w:rPr>
              <w:t>0.0%</w:t>
            </w:r>
          </w:p>
        </w:tc>
        <w:tc>
          <w:tcPr>
            <w:tcW w:w="1246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/>
              </w:rPr>
              <w:t>0.0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/>
              </w:rPr>
              <w:t>0.0%</w:t>
            </w:r>
          </w:p>
        </w:tc>
        <w:tc>
          <w:tcPr>
            <w:tcW w:w="669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/>
              </w:rPr>
              <w:t>0.0%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/>
              </w:rPr>
              <w:t>0.0</w:t>
            </w:r>
          </w:p>
        </w:tc>
        <w:tc>
          <w:tcPr>
            <w:tcW w:w="930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/>
              </w:rPr>
              <w:t>0.0%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90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kern w:val="0"/>
                <w:highlight w:val="none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</w:rPr>
              <w:t>商品及金融衍生品类</w:t>
            </w:r>
          </w:p>
        </w:tc>
        <w:tc>
          <w:tcPr>
            <w:tcW w:w="657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  <w:t>0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/>
              </w:rPr>
              <w:t>0.0%</w:t>
            </w:r>
          </w:p>
        </w:tc>
        <w:tc>
          <w:tcPr>
            <w:tcW w:w="1246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/>
              </w:rPr>
              <w:t>0.0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/>
              </w:rPr>
              <w:t>0.0%</w:t>
            </w:r>
          </w:p>
        </w:tc>
        <w:tc>
          <w:tcPr>
            <w:tcW w:w="669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/>
              </w:rPr>
              <w:t>0.0%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/>
              </w:rPr>
              <w:t>0.0</w:t>
            </w:r>
          </w:p>
        </w:tc>
        <w:tc>
          <w:tcPr>
            <w:tcW w:w="930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/>
              </w:rPr>
              <w:t>0.0%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90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kern w:val="0"/>
                <w:highlight w:val="none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</w:rPr>
              <w:t>混合类</w:t>
            </w:r>
          </w:p>
        </w:tc>
        <w:tc>
          <w:tcPr>
            <w:tcW w:w="657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  <w:t>0</w:t>
            </w: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/>
              </w:rPr>
              <w:t>0.0%</w:t>
            </w:r>
          </w:p>
        </w:tc>
        <w:tc>
          <w:tcPr>
            <w:tcW w:w="1246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/>
              </w:rPr>
              <w:t>0.0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/>
              </w:rPr>
              <w:t>0.0%</w:t>
            </w:r>
          </w:p>
        </w:tc>
        <w:tc>
          <w:tcPr>
            <w:tcW w:w="669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/>
              </w:rPr>
              <w:t>0.0%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/>
              </w:rPr>
              <w:t>0.0</w:t>
            </w:r>
          </w:p>
        </w:tc>
        <w:tc>
          <w:tcPr>
            <w:tcW w:w="930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/>
              </w:rPr>
              <w:t>0.0%</w:t>
            </w:r>
          </w:p>
        </w:tc>
      </w:tr>
    </w:tbl>
    <w:p>
      <w:pPr>
        <w:rPr>
          <w:rFonts w:hint="eastAsia" w:ascii="宋体" w:hAnsi="宋体" w:eastAsia="宋体" w:cs="宋体"/>
          <w:b w:val="0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highlight w:val="none"/>
        </w:rPr>
        <w:t>注：本表金额中包括存续开放式产品申购金额。</w:t>
      </w:r>
      <w:bookmarkStart w:id="3" w:name="_Toc6408589"/>
    </w:p>
    <w:p>
      <w:pPr>
        <w:pStyle w:val="3"/>
        <w:rPr>
          <w:rFonts w:hint="eastAsia" w:ascii="宋体" w:hAnsi="宋体" w:eastAsia="宋体" w:cs="宋体"/>
          <w:b w:val="0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 w:val="0"/>
          <w:sz w:val="30"/>
          <w:szCs w:val="30"/>
          <w:highlight w:val="none"/>
        </w:rPr>
        <w:t>1.2 报告期内到期产品</w:t>
      </w:r>
      <w:bookmarkEnd w:id="3"/>
      <w:bookmarkStart w:id="4" w:name="_Toc6408590"/>
    </w:p>
    <w:tbl>
      <w:tblPr>
        <w:tblStyle w:val="8"/>
        <w:tblW w:w="106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2116"/>
        <w:gridCol w:w="675"/>
        <w:gridCol w:w="944"/>
        <w:gridCol w:w="1269"/>
        <w:gridCol w:w="970"/>
        <w:gridCol w:w="715"/>
        <w:gridCol w:w="704"/>
        <w:gridCol w:w="1353"/>
        <w:gridCol w:w="9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36" w:type="dxa"/>
            <w:gridSpan w:val="2"/>
            <w:vMerge w:val="restart"/>
            <w:shd w:val="clear" w:color="auto" w:fill="76923C" w:themeFill="accent3" w:themeFillShade="BF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</w:rPr>
              <w:t>产品类别</w:t>
            </w:r>
          </w:p>
        </w:tc>
        <w:tc>
          <w:tcPr>
            <w:tcW w:w="3858" w:type="dxa"/>
            <w:gridSpan w:val="4"/>
            <w:shd w:val="clear" w:color="auto" w:fill="76923C" w:themeFill="accent3" w:themeFillShade="BF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highlight w:val="none"/>
              </w:rPr>
              <w:t>本期</w:t>
            </w:r>
          </w:p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highlight w:val="none"/>
                <w:lang w:val="en-US" w:eastAsia="zh-CN"/>
              </w:rPr>
              <w:t>2026年1月1日-2026年6月30日</w:t>
            </w:r>
          </w:p>
        </w:tc>
        <w:tc>
          <w:tcPr>
            <w:tcW w:w="3687" w:type="dxa"/>
            <w:gridSpan w:val="4"/>
            <w:shd w:val="clear" w:color="auto" w:fill="76923C" w:themeFill="accent3" w:themeFillShade="BF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金标宋体" w:hAnsi="金标宋体" w:eastAsia="金标宋体" w:cs="金标宋体"/>
                <w:kern w:val="0"/>
                <w:highlight w:val="none"/>
              </w:rPr>
            </w:pPr>
            <w:r>
              <w:rPr>
                <w:rFonts w:hint="eastAsia" w:ascii="金标宋体" w:hAnsi="金标宋体" w:eastAsia="金标宋体" w:cs="金标宋体"/>
                <w:kern w:val="0"/>
                <w:highlight w:val="none"/>
                <w:lang w:val="en-US" w:eastAsia="zh-CN"/>
              </w:rPr>
              <w:t>上</w:t>
            </w:r>
            <w:r>
              <w:rPr>
                <w:rFonts w:hint="eastAsia" w:ascii="金标宋体" w:hAnsi="金标宋体" w:eastAsia="金标宋体" w:cs="金标宋体"/>
                <w:kern w:val="0"/>
                <w:highlight w:val="none"/>
              </w:rPr>
              <w:t>期</w:t>
            </w:r>
          </w:p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highlight w:val="none"/>
                <w:lang w:val="en-US" w:eastAsia="zh-CN"/>
              </w:rPr>
              <w:t>2025年7月1日-2025年12月31日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136" w:type="dxa"/>
            <w:gridSpan w:val="2"/>
            <w:vMerge w:val="continue"/>
            <w:shd w:val="clear" w:color="auto" w:fill="76923C" w:themeFill="accent3" w:themeFillShade="BF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kern w:val="0"/>
                <w:highlight w:val="none"/>
              </w:rPr>
            </w:pPr>
          </w:p>
        </w:tc>
        <w:tc>
          <w:tcPr>
            <w:tcW w:w="675" w:type="dxa"/>
            <w:shd w:val="clear" w:color="auto" w:fill="76923C" w:themeFill="accent3" w:themeFillShade="BF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</w:rPr>
              <w:t>数量(只)</w:t>
            </w:r>
          </w:p>
        </w:tc>
        <w:tc>
          <w:tcPr>
            <w:tcW w:w="944" w:type="dxa"/>
            <w:shd w:val="clear" w:color="auto" w:fill="76923C" w:themeFill="accent3" w:themeFillShade="BF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</w:rPr>
              <w:t>占比</w:t>
            </w:r>
          </w:p>
        </w:tc>
        <w:tc>
          <w:tcPr>
            <w:tcW w:w="1269" w:type="dxa"/>
            <w:shd w:val="clear" w:color="auto" w:fill="76923C" w:themeFill="accent3" w:themeFillShade="BF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</w:rPr>
              <w:t>金额(万元)</w:t>
            </w:r>
          </w:p>
        </w:tc>
        <w:tc>
          <w:tcPr>
            <w:tcW w:w="970" w:type="dxa"/>
            <w:shd w:val="clear" w:color="auto" w:fill="76923C" w:themeFill="accent3" w:themeFillShade="BF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</w:rPr>
              <w:t>占比</w:t>
            </w:r>
          </w:p>
        </w:tc>
        <w:tc>
          <w:tcPr>
            <w:tcW w:w="715" w:type="dxa"/>
            <w:shd w:val="clear" w:color="auto" w:fill="76923C" w:themeFill="accent3" w:themeFillShade="BF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</w:rPr>
              <w:t>数量(只)</w:t>
            </w:r>
          </w:p>
        </w:tc>
        <w:tc>
          <w:tcPr>
            <w:tcW w:w="704" w:type="dxa"/>
            <w:shd w:val="clear" w:color="auto" w:fill="76923C" w:themeFill="accent3" w:themeFillShade="BF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</w:rPr>
              <w:t>占比</w:t>
            </w:r>
          </w:p>
        </w:tc>
        <w:tc>
          <w:tcPr>
            <w:tcW w:w="1353" w:type="dxa"/>
            <w:shd w:val="clear" w:color="auto" w:fill="76923C" w:themeFill="accent3" w:themeFillShade="BF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</w:rPr>
              <w:t>金额(万元)</w:t>
            </w:r>
          </w:p>
        </w:tc>
        <w:tc>
          <w:tcPr>
            <w:tcW w:w="915" w:type="dxa"/>
            <w:shd w:val="clear" w:color="auto" w:fill="76923C" w:themeFill="accent3" w:themeFillShade="BF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</w:rPr>
              <w:t>占比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20" w:type="dxa"/>
            <w:vMerge w:val="restart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</w:rPr>
              <w:t>按募集方式</w:t>
            </w:r>
          </w:p>
        </w:tc>
        <w:tc>
          <w:tcPr>
            <w:tcW w:w="2116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</w:rPr>
              <w:t>公募产品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金标宋体" w:hAnsi="金标宋体" w:eastAsia="金标宋体" w:cs="金标宋体"/>
                <w:kern w:val="0"/>
                <w:sz w:val="22"/>
                <w:szCs w:val="22"/>
                <w:highlight w:val="none"/>
                <w:lang w:val="en-US" w:eastAsia="zh-CN" w:bidi="zh-CN"/>
              </w:rPr>
            </w:pPr>
            <w:r>
              <w:rPr>
                <w:rFonts w:hint="eastAsia" w:ascii="金标宋体" w:hAnsi="金标宋体" w:eastAsia="金标宋体" w:cs="金标宋体"/>
                <w:kern w:val="0"/>
                <w:sz w:val="22"/>
                <w:szCs w:val="22"/>
                <w:highlight w:val="none"/>
                <w:lang w:val="en-US" w:eastAsia="zh-CN" w:bidi="zh-CN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金标宋体" w:hAnsi="金标宋体" w:eastAsia="金标宋体" w:cs="金标宋体"/>
                <w:kern w:val="0"/>
                <w:sz w:val="22"/>
                <w:szCs w:val="22"/>
                <w:highlight w:val="none"/>
                <w:lang w:val="en-US" w:eastAsia="zh-CN" w:bidi="zh-CN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 w:eastAsia="zh-CN"/>
              </w:rPr>
              <w:t>10</w:t>
            </w: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0.0%</w:t>
            </w: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 w:bidi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 w:bidi="zh-CN"/>
              </w:rPr>
              <w:t>891935.65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100.0%</w:t>
            </w:r>
          </w:p>
        </w:tc>
        <w:tc>
          <w:tcPr>
            <w:tcW w:w="715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金标宋体" w:hAnsi="金标宋体" w:eastAsia="金标宋体" w:cs="金标宋体"/>
                <w:kern w:val="0"/>
                <w:sz w:val="22"/>
                <w:szCs w:val="22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zh-CN"/>
              </w:rPr>
              <w:t>0</w:t>
            </w:r>
          </w:p>
        </w:tc>
        <w:tc>
          <w:tcPr>
            <w:tcW w:w="704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金标宋体" w:hAnsi="金标宋体" w:eastAsia="金标宋体" w:cs="金标宋体"/>
                <w:kern w:val="0"/>
                <w:sz w:val="22"/>
                <w:szCs w:val="22"/>
                <w:highlight w:val="none"/>
                <w:lang w:val="en-US" w:eastAsia="zh-CN" w:bidi="zh-CN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0.0%</w:t>
            </w:r>
          </w:p>
        </w:tc>
        <w:tc>
          <w:tcPr>
            <w:tcW w:w="135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 w:bidi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 w:bidi="zh-CN"/>
              </w:rPr>
              <w:t>956380.0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 w:bidi="zh-CN"/>
              </w:rPr>
              <w:t>5</w:t>
            </w:r>
          </w:p>
        </w:tc>
        <w:tc>
          <w:tcPr>
            <w:tcW w:w="915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100.0%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0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kern w:val="0"/>
                <w:highlight w:val="none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</w:rPr>
              <w:t>私募产品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金标宋体" w:hAnsi="金标宋体" w:eastAsia="金标宋体" w:cs="金标宋体"/>
                <w:kern w:val="0"/>
                <w:sz w:val="22"/>
                <w:szCs w:val="22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zh-CN"/>
              </w:rPr>
              <w:t>0</w:t>
            </w:r>
          </w:p>
        </w:tc>
        <w:tc>
          <w:tcPr>
            <w:tcW w:w="944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金标宋体" w:hAnsi="金标宋体" w:eastAsia="金标宋体" w:cs="金标宋体"/>
                <w:kern w:val="0"/>
                <w:sz w:val="22"/>
                <w:szCs w:val="22"/>
                <w:highlight w:val="none"/>
                <w:lang w:val="en-US" w:eastAsia="zh-CN" w:bidi="zh-CN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0.0%</w:t>
            </w: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zh-CN"/>
              </w:rPr>
              <w:t>0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zh-CN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0.0%</w:t>
            </w:r>
          </w:p>
        </w:tc>
        <w:tc>
          <w:tcPr>
            <w:tcW w:w="715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金标宋体" w:hAnsi="金标宋体" w:eastAsia="金标宋体" w:cs="金标宋体"/>
                <w:kern w:val="0"/>
                <w:sz w:val="22"/>
                <w:szCs w:val="22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zh-CN"/>
              </w:rPr>
              <w:t>0</w:t>
            </w:r>
          </w:p>
        </w:tc>
        <w:tc>
          <w:tcPr>
            <w:tcW w:w="704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金标宋体" w:hAnsi="金标宋体" w:eastAsia="金标宋体" w:cs="金标宋体"/>
                <w:kern w:val="0"/>
                <w:sz w:val="22"/>
                <w:szCs w:val="22"/>
                <w:highlight w:val="none"/>
                <w:lang w:val="en-US" w:eastAsia="zh-CN" w:bidi="zh-CN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0.0%</w:t>
            </w:r>
          </w:p>
        </w:tc>
        <w:tc>
          <w:tcPr>
            <w:tcW w:w="1353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zh-CN"/>
              </w:rPr>
              <w:t>0</w:t>
            </w:r>
          </w:p>
        </w:tc>
        <w:tc>
          <w:tcPr>
            <w:tcW w:w="915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zh-CN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0.0%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0" w:type="dxa"/>
            <w:vMerge w:val="restart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</w:rPr>
              <w:t>按投资性质</w:t>
            </w:r>
          </w:p>
        </w:tc>
        <w:tc>
          <w:tcPr>
            <w:tcW w:w="2116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</w:rPr>
              <w:t>固定收益类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金标宋体" w:hAnsi="金标宋体" w:eastAsia="金标宋体" w:cs="金标宋体"/>
                <w:kern w:val="0"/>
                <w:sz w:val="22"/>
                <w:szCs w:val="22"/>
                <w:highlight w:val="none"/>
                <w:lang w:val="en-US" w:eastAsia="zh-CN" w:bidi="zh-CN"/>
              </w:rPr>
            </w:pPr>
            <w:r>
              <w:rPr>
                <w:rFonts w:hint="eastAsia" w:ascii="金标宋体" w:hAnsi="金标宋体" w:eastAsia="金标宋体" w:cs="金标宋体"/>
                <w:kern w:val="0"/>
                <w:sz w:val="22"/>
                <w:szCs w:val="22"/>
                <w:highlight w:val="none"/>
                <w:lang w:val="en-US" w:eastAsia="zh-CN" w:bidi="zh-CN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金标宋体" w:hAnsi="金标宋体" w:eastAsia="金标宋体" w:cs="金标宋体"/>
                <w:kern w:val="0"/>
                <w:sz w:val="22"/>
                <w:szCs w:val="22"/>
                <w:highlight w:val="none"/>
                <w:lang w:val="en-US" w:eastAsia="zh-CN" w:bidi="zh-CN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 w:eastAsia="zh-CN"/>
              </w:rPr>
              <w:t>10</w:t>
            </w: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0.0%</w:t>
            </w: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 w:bidi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 w:bidi="zh-CN"/>
              </w:rPr>
              <w:t>891935.65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100.0%</w:t>
            </w:r>
          </w:p>
        </w:tc>
        <w:tc>
          <w:tcPr>
            <w:tcW w:w="715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金标宋体" w:hAnsi="金标宋体" w:eastAsia="金标宋体" w:cs="金标宋体"/>
                <w:kern w:val="0"/>
                <w:sz w:val="22"/>
                <w:szCs w:val="22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zh-CN"/>
              </w:rPr>
              <w:t>0</w:t>
            </w:r>
          </w:p>
        </w:tc>
        <w:tc>
          <w:tcPr>
            <w:tcW w:w="704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金标宋体" w:hAnsi="金标宋体" w:eastAsia="金标宋体" w:cs="金标宋体"/>
                <w:kern w:val="0"/>
                <w:sz w:val="22"/>
                <w:szCs w:val="22"/>
                <w:highlight w:val="none"/>
                <w:lang w:val="en-US" w:eastAsia="zh-CN" w:bidi="zh-CN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0.0%</w:t>
            </w:r>
          </w:p>
        </w:tc>
        <w:tc>
          <w:tcPr>
            <w:tcW w:w="135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 w:bidi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 w:bidi="zh-CN"/>
              </w:rPr>
              <w:t>956380.0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 w:bidi="zh-CN"/>
              </w:rPr>
              <w:t>5</w:t>
            </w:r>
          </w:p>
        </w:tc>
        <w:tc>
          <w:tcPr>
            <w:tcW w:w="915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100.0%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0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kern w:val="0"/>
                <w:highlight w:val="none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</w:rPr>
              <w:t>权益类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金标宋体" w:hAnsi="金标宋体" w:eastAsia="金标宋体" w:cs="金标宋体"/>
                <w:kern w:val="0"/>
                <w:sz w:val="22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/>
              </w:rPr>
              <w:t>0</w:t>
            </w:r>
          </w:p>
        </w:tc>
        <w:tc>
          <w:tcPr>
            <w:tcW w:w="944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金标宋体" w:hAnsi="金标宋体" w:eastAsia="金标宋体" w:cs="金标宋体"/>
                <w:kern w:val="0"/>
                <w:sz w:val="22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/>
              </w:rPr>
              <w:t>0.0%</w:t>
            </w: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/>
              </w:rPr>
              <w:t>0.0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/>
              </w:rPr>
              <w:t>0.0%</w:t>
            </w:r>
          </w:p>
        </w:tc>
        <w:tc>
          <w:tcPr>
            <w:tcW w:w="715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金标宋体" w:hAnsi="金标宋体" w:eastAsia="金标宋体" w:cs="金标宋体"/>
                <w:kern w:val="0"/>
                <w:sz w:val="22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/>
              </w:rPr>
              <w:t>0</w:t>
            </w:r>
          </w:p>
        </w:tc>
        <w:tc>
          <w:tcPr>
            <w:tcW w:w="704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金标宋体" w:hAnsi="金标宋体" w:eastAsia="金标宋体" w:cs="金标宋体"/>
                <w:kern w:val="0"/>
                <w:sz w:val="22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/>
              </w:rPr>
              <w:t>0.0%</w:t>
            </w:r>
          </w:p>
        </w:tc>
        <w:tc>
          <w:tcPr>
            <w:tcW w:w="1353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/>
              </w:rPr>
              <w:t>0.0</w:t>
            </w:r>
          </w:p>
        </w:tc>
        <w:tc>
          <w:tcPr>
            <w:tcW w:w="915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/>
              </w:rPr>
              <w:t>0.0%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0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kern w:val="0"/>
                <w:highlight w:val="none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</w:rPr>
              <w:t>商品及金融衍生品类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金标宋体" w:hAnsi="金标宋体" w:eastAsia="金标宋体" w:cs="金标宋体"/>
                <w:kern w:val="0"/>
                <w:sz w:val="22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/>
              </w:rPr>
              <w:t>0</w:t>
            </w:r>
          </w:p>
        </w:tc>
        <w:tc>
          <w:tcPr>
            <w:tcW w:w="944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金标宋体" w:hAnsi="金标宋体" w:eastAsia="金标宋体" w:cs="金标宋体"/>
                <w:kern w:val="0"/>
                <w:sz w:val="22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/>
              </w:rPr>
              <w:t>0.0%</w:t>
            </w: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/>
              </w:rPr>
              <w:t>0.0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/>
              </w:rPr>
              <w:t>0.0%</w:t>
            </w:r>
          </w:p>
        </w:tc>
        <w:tc>
          <w:tcPr>
            <w:tcW w:w="715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金标宋体" w:hAnsi="金标宋体" w:eastAsia="金标宋体" w:cs="金标宋体"/>
                <w:kern w:val="0"/>
                <w:sz w:val="22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/>
              </w:rPr>
              <w:t>0</w:t>
            </w:r>
          </w:p>
        </w:tc>
        <w:tc>
          <w:tcPr>
            <w:tcW w:w="704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金标宋体" w:hAnsi="金标宋体" w:eastAsia="金标宋体" w:cs="金标宋体"/>
                <w:kern w:val="0"/>
                <w:sz w:val="22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/>
              </w:rPr>
              <w:t>0.0%</w:t>
            </w:r>
          </w:p>
        </w:tc>
        <w:tc>
          <w:tcPr>
            <w:tcW w:w="1353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/>
              </w:rPr>
              <w:t>0.0</w:t>
            </w:r>
          </w:p>
        </w:tc>
        <w:tc>
          <w:tcPr>
            <w:tcW w:w="915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/>
              </w:rPr>
              <w:t>0.0%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20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kern w:val="0"/>
                <w:highlight w:val="none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</w:rPr>
              <w:t>混合类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金标宋体" w:hAnsi="金标宋体" w:eastAsia="金标宋体" w:cs="金标宋体"/>
                <w:kern w:val="0"/>
                <w:sz w:val="22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/>
              </w:rPr>
              <w:t>0</w:t>
            </w:r>
          </w:p>
        </w:tc>
        <w:tc>
          <w:tcPr>
            <w:tcW w:w="944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金标宋体" w:hAnsi="金标宋体" w:eastAsia="金标宋体" w:cs="金标宋体"/>
                <w:kern w:val="0"/>
                <w:sz w:val="22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/>
              </w:rPr>
              <w:t>0.0%</w:t>
            </w:r>
          </w:p>
        </w:tc>
        <w:tc>
          <w:tcPr>
            <w:tcW w:w="1269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/>
              </w:rPr>
              <w:t>0.0</w:t>
            </w:r>
          </w:p>
        </w:tc>
        <w:tc>
          <w:tcPr>
            <w:tcW w:w="970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/>
              </w:rPr>
              <w:t>0.0%</w:t>
            </w:r>
          </w:p>
        </w:tc>
        <w:tc>
          <w:tcPr>
            <w:tcW w:w="715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金标宋体" w:hAnsi="金标宋体" w:eastAsia="金标宋体" w:cs="金标宋体"/>
                <w:kern w:val="0"/>
                <w:sz w:val="22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/>
              </w:rPr>
              <w:t>0</w:t>
            </w:r>
          </w:p>
        </w:tc>
        <w:tc>
          <w:tcPr>
            <w:tcW w:w="704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金标宋体" w:hAnsi="金标宋体" w:eastAsia="金标宋体" w:cs="金标宋体"/>
                <w:kern w:val="0"/>
                <w:sz w:val="22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/>
              </w:rPr>
              <w:t>0.0%</w:t>
            </w:r>
          </w:p>
        </w:tc>
        <w:tc>
          <w:tcPr>
            <w:tcW w:w="1353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/>
              </w:rPr>
              <w:t>0.0</w:t>
            </w:r>
          </w:p>
        </w:tc>
        <w:tc>
          <w:tcPr>
            <w:tcW w:w="915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/>
              </w:rPr>
              <w:t>0.0%</w:t>
            </w:r>
          </w:p>
        </w:tc>
      </w:tr>
    </w:tbl>
    <w:p>
      <w:pPr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>注：</w:t>
      </w:r>
      <w:r>
        <w:rPr>
          <w:rFonts w:ascii="宋体" w:hAnsi="宋体" w:eastAsia="宋体" w:cs="宋体"/>
          <w:sz w:val="24"/>
          <w:szCs w:val="24"/>
          <w:highlight w:val="none"/>
        </w:rPr>
        <w:t>报告期内到期产品金额包括报告期内到期产品的实际兑付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本金和收益</w:t>
      </w:r>
      <w:r>
        <w:rPr>
          <w:rFonts w:ascii="宋体" w:hAnsi="宋体" w:eastAsia="宋体" w:cs="宋体"/>
          <w:sz w:val="24"/>
          <w:szCs w:val="24"/>
          <w:highlight w:val="none"/>
        </w:rPr>
        <w:t>与存续开放式产品赎回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的本金和收益</w:t>
      </w:r>
    </w:p>
    <w:p>
      <w:pPr>
        <w:pStyle w:val="3"/>
        <w:rPr>
          <w:rFonts w:hint="eastAsia" w:ascii="宋体" w:hAnsi="宋体" w:eastAsia="宋体" w:cs="宋体"/>
          <w:b w:val="0"/>
          <w:sz w:val="24"/>
          <w:highlight w:val="none"/>
        </w:rPr>
      </w:pPr>
      <w:r>
        <w:rPr>
          <w:rFonts w:hint="eastAsia" w:ascii="宋体" w:hAnsi="宋体" w:eastAsia="宋体" w:cs="宋体"/>
          <w:b w:val="0"/>
          <w:sz w:val="30"/>
          <w:szCs w:val="30"/>
          <w:highlight w:val="none"/>
        </w:rPr>
        <w:t>1.3 报告期末存续产品</w:t>
      </w:r>
      <w:bookmarkEnd w:id="4"/>
    </w:p>
    <w:tbl>
      <w:tblPr>
        <w:tblStyle w:val="8"/>
        <w:tblW w:w="106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1964"/>
        <w:gridCol w:w="658"/>
        <w:gridCol w:w="911"/>
        <w:gridCol w:w="1362"/>
        <w:gridCol w:w="888"/>
        <w:gridCol w:w="750"/>
        <w:gridCol w:w="981"/>
        <w:gridCol w:w="1327"/>
        <w:gridCol w:w="9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86" w:type="dxa"/>
            <w:gridSpan w:val="2"/>
            <w:vMerge w:val="restart"/>
            <w:shd w:val="clear" w:color="auto" w:fill="76923C" w:themeFill="accent3" w:themeFillShade="BF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</w:rPr>
              <w:t>产品类别</w:t>
            </w:r>
          </w:p>
        </w:tc>
        <w:tc>
          <w:tcPr>
            <w:tcW w:w="3819" w:type="dxa"/>
            <w:gridSpan w:val="4"/>
            <w:shd w:val="clear" w:color="auto" w:fill="76923C" w:themeFill="accent3" w:themeFillShade="BF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</w:rPr>
              <w:t>本期末</w:t>
            </w:r>
          </w:p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  <w:t>2026年6月30日</w:t>
            </w:r>
          </w:p>
        </w:tc>
        <w:tc>
          <w:tcPr>
            <w:tcW w:w="3976" w:type="dxa"/>
            <w:gridSpan w:val="4"/>
            <w:shd w:val="clear" w:color="auto" w:fill="76923C" w:themeFill="accent3" w:themeFillShade="BF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  <w:t>上</w:t>
            </w:r>
            <w:r>
              <w:rPr>
                <w:rFonts w:hint="eastAsia" w:ascii="宋体" w:hAnsi="宋体" w:eastAsia="宋体" w:cs="宋体"/>
                <w:kern w:val="0"/>
                <w:highlight w:val="none"/>
              </w:rPr>
              <w:t>期末</w:t>
            </w:r>
          </w:p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  <w:t>2025年12月31日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86" w:type="dxa"/>
            <w:gridSpan w:val="2"/>
            <w:vMerge w:val="continue"/>
            <w:shd w:val="clear" w:color="auto" w:fill="76923C" w:themeFill="accent3" w:themeFillShade="BF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kern w:val="0"/>
                <w:highlight w:val="none"/>
              </w:rPr>
            </w:pPr>
          </w:p>
        </w:tc>
        <w:tc>
          <w:tcPr>
            <w:tcW w:w="658" w:type="dxa"/>
            <w:shd w:val="clear" w:color="auto" w:fill="76923C" w:themeFill="accent3" w:themeFillShade="BF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</w:rPr>
              <w:t>数量(只)</w:t>
            </w:r>
          </w:p>
        </w:tc>
        <w:tc>
          <w:tcPr>
            <w:tcW w:w="911" w:type="dxa"/>
            <w:shd w:val="clear" w:color="auto" w:fill="76923C" w:themeFill="accent3" w:themeFillShade="BF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</w:rPr>
              <w:t>占比</w:t>
            </w:r>
          </w:p>
        </w:tc>
        <w:tc>
          <w:tcPr>
            <w:tcW w:w="1362" w:type="dxa"/>
            <w:shd w:val="clear" w:color="auto" w:fill="76923C" w:themeFill="accent3" w:themeFillShade="BF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</w:rPr>
              <w:t>金额(万元)</w:t>
            </w:r>
          </w:p>
        </w:tc>
        <w:tc>
          <w:tcPr>
            <w:tcW w:w="888" w:type="dxa"/>
            <w:shd w:val="clear" w:color="auto" w:fill="76923C" w:themeFill="accent3" w:themeFillShade="BF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</w:rPr>
              <w:t>占比</w:t>
            </w:r>
          </w:p>
        </w:tc>
        <w:tc>
          <w:tcPr>
            <w:tcW w:w="750" w:type="dxa"/>
            <w:shd w:val="clear" w:color="auto" w:fill="76923C" w:themeFill="accent3" w:themeFillShade="BF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</w:rPr>
              <w:t>数量(只)</w:t>
            </w:r>
          </w:p>
        </w:tc>
        <w:tc>
          <w:tcPr>
            <w:tcW w:w="981" w:type="dxa"/>
            <w:shd w:val="clear" w:color="auto" w:fill="76923C" w:themeFill="accent3" w:themeFillShade="BF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</w:rPr>
              <w:t>占比</w:t>
            </w:r>
          </w:p>
        </w:tc>
        <w:tc>
          <w:tcPr>
            <w:tcW w:w="1327" w:type="dxa"/>
            <w:shd w:val="clear" w:color="auto" w:fill="76923C" w:themeFill="accent3" w:themeFillShade="BF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</w:rPr>
              <w:t>金额(万元)</w:t>
            </w:r>
          </w:p>
        </w:tc>
        <w:tc>
          <w:tcPr>
            <w:tcW w:w="918" w:type="dxa"/>
            <w:shd w:val="clear" w:color="auto" w:fill="76923C" w:themeFill="accent3" w:themeFillShade="BF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</w:rPr>
              <w:t>占比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922" w:type="dxa"/>
            <w:vMerge w:val="restart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</w:rPr>
              <w:t>按募集方式</w:t>
            </w:r>
          </w:p>
        </w:tc>
        <w:tc>
          <w:tcPr>
            <w:tcW w:w="1964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</w:rPr>
              <w:t>公募产品</w:t>
            </w:r>
          </w:p>
        </w:tc>
        <w:tc>
          <w:tcPr>
            <w:tcW w:w="658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宋体" w:hAnsi="宋体" w:eastAsia="宋体" w:cs="宋体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  <w:t>15</w:t>
            </w:r>
          </w:p>
        </w:tc>
        <w:tc>
          <w:tcPr>
            <w:tcW w:w="911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宋体" w:hAnsi="宋体" w:eastAsia="宋体" w:cs="宋体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  <w:t>93.75%</w:t>
            </w:r>
          </w:p>
        </w:tc>
        <w:tc>
          <w:tcPr>
            <w:tcW w:w="1362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  <w:t>1060786.86</w:t>
            </w:r>
          </w:p>
        </w:tc>
        <w:tc>
          <w:tcPr>
            <w:tcW w:w="888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宋体" w:hAnsi="宋体" w:eastAsia="宋体" w:cs="宋体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  <w:t>99.74%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  <w:t>16</w:t>
            </w:r>
          </w:p>
        </w:tc>
        <w:tc>
          <w:tcPr>
            <w:tcW w:w="981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  <w:t>94.12%</w:t>
            </w:r>
          </w:p>
        </w:tc>
        <w:tc>
          <w:tcPr>
            <w:tcW w:w="1327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  <w:t>1263790.56</w:t>
            </w:r>
          </w:p>
        </w:tc>
        <w:tc>
          <w:tcPr>
            <w:tcW w:w="918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  <w:t>99.79%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22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kern w:val="0"/>
                <w:highlight w:val="none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</w:rPr>
              <w:t>私募产品</w:t>
            </w:r>
          </w:p>
        </w:tc>
        <w:tc>
          <w:tcPr>
            <w:tcW w:w="658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zh-CN"/>
              </w:rPr>
              <w:t>1</w:t>
            </w:r>
          </w:p>
        </w:tc>
        <w:tc>
          <w:tcPr>
            <w:tcW w:w="911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zh-CN"/>
              </w:rPr>
              <w:t>6.25%</w:t>
            </w:r>
          </w:p>
        </w:tc>
        <w:tc>
          <w:tcPr>
            <w:tcW w:w="1362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zh-CN"/>
              </w:rPr>
            </w:pPr>
            <w:r>
              <w:rPr>
                <w:rFonts w:hint="default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zh-CN"/>
              </w:rPr>
              <w:t>2760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zh-CN"/>
              </w:rPr>
              <w:t>.</w:t>
            </w:r>
            <w:r>
              <w:rPr>
                <w:rFonts w:hint="default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zh-CN"/>
              </w:rPr>
              <w:t>90</w:t>
            </w:r>
          </w:p>
        </w:tc>
        <w:tc>
          <w:tcPr>
            <w:tcW w:w="888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zh-CN"/>
              </w:rPr>
              <w:t>0.26%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zh-CN"/>
              </w:rPr>
              <w:t>1</w:t>
            </w:r>
          </w:p>
        </w:tc>
        <w:tc>
          <w:tcPr>
            <w:tcW w:w="981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zh-CN"/>
              </w:rPr>
              <w:t>5.88%</w:t>
            </w:r>
          </w:p>
        </w:tc>
        <w:tc>
          <w:tcPr>
            <w:tcW w:w="1327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zh-CN"/>
              </w:rPr>
              <w:t>2721.27</w:t>
            </w:r>
          </w:p>
        </w:tc>
        <w:tc>
          <w:tcPr>
            <w:tcW w:w="918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zh-CN"/>
              </w:rPr>
              <w:t>0.21%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22" w:type="dxa"/>
            <w:vMerge w:val="restart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</w:rPr>
              <w:t>按投资性质</w:t>
            </w:r>
          </w:p>
        </w:tc>
        <w:tc>
          <w:tcPr>
            <w:tcW w:w="1964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</w:rPr>
              <w:t>固定收益类</w:t>
            </w:r>
          </w:p>
        </w:tc>
        <w:tc>
          <w:tcPr>
            <w:tcW w:w="658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宋体" w:hAnsi="宋体" w:eastAsia="宋体" w:cs="宋体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  <w:t>16</w:t>
            </w:r>
          </w:p>
        </w:tc>
        <w:tc>
          <w:tcPr>
            <w:tcW w:w="911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宋体" w:hAnsi="宋体" w:eastAsia="宋体" w:cs="宋体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100.0%</w:t>
            </w:r>
          </w:p>
        </w:tc>
        <w:tc>
          <w:tcPr>
            <w:tcW w:w="1362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宋体" w:hAnsi="宋体" w:eastAsia="宋体" w:cs="宋体"/>
                <w:kern w:val="0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0"/>
                <w:highlight w:val="none"/>
                <w:lang w:val="en-US" w:eastAsia="zh-CN"/>
              </w:rPr>
              <w:t>1063547.76</w:t>
            </w:r>
          </w:p>
        </w:tc>
        <w:tc>
          <w:tcPr>
            <w:tcW w:w="888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宋体" w:hAnsi="宋体" w:eastAsia="宋体" w:cs="宋体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100.0%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  <w:t>17</w:t>
            </w:r>
          </w:p>
        </w:tc>
        <w:tc>
          <w:tcPr>
            <w:tcW w:w="981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100.0%</w:t>
            </w:r>
          </w:p>
        </w:tc>
        <w:tc>
          <w:tcPr>
            <w:tcW w:w="1327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default" w:ascii="金标宋体" w:hAnsi="金标宋体" w:eastAsia="金标宋体" w:cs="金标宋体"/>
                <w:highlight w:val="none"/>
                <w:lang w:val="en-US" w:eastAsia="zh-CN"/>
              </w:rPr>
              <w:t>1266511.83</w:t>
            </w:r>
          </w:p>
        </w:tc>
        <w:tc>
          <w:tcPr>
            <w:tcW w:w="918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100.0%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22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kern w:val="0"/>
                <w:highlight w:val="none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</w:rPr>
              <w:t>权益类</w:t>
            </w:r>
          </w:p>
        </w:tc>
        <w:tc>
          <w:tcPr>
            <w:tcW w:w="658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0.0%</w:t>
            </w:r>
          </w:p>
        </w:tc>
        <w:tc>
          <w:tcPr>
            <w:tcW w:w="1362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0.00</w:t>
            </w:r>
          </w:p>
        </w:tc>
        <w:tc>
          <w:tcPr>
            <w:tcW w:w="888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0.0%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0</w:t>
            </w:r>
          </w:p>
        </w:tc>
        <w:tc>
          <w:tcPr>
            <w:tcW w:w="981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0.0%</w:t>
            </w:r>
          </w:p>
        </w:tc>
        <w:tc>
          <w:tcPr>
            <w:tcW w:w="1327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0.00</w:t>
            </w:r>
          </w:p>
        </w:tc>
        <w:tc>
          <w:tcPr>
            <w:tcW w:w="918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0.0%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22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kern w:val="0"/>
                <w:highlight w:val="none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</w:rPr>
              <w:t>商品及金融衍生品类</w:t>
            </w:r>
          </w:p>
        </w:tc>
        <w:tc>
          <w:tcPr>
            <w:tcW w:w="658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0.0%</w:t>
            </w:r>
          </w:p>
        </w:tc>
        <w:tc>
          <w:tcPr>
            <w:tcW w:w="1362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0.00</w:t>
            </w:r>
          </w:p>
        </w:tc>
        <w:tc>
          <w:tcPr>
            <w:tcW w:w="888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0.0%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0</w:t>
            </w:r>
          </w:p>
        </w:tc>
        <w:tc>
          <w:tcPr>
            <w:tcW w:w="981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0.0%</w:t>
            </w:r>
          </w:p>
        </w:tc>
        <w:tc>
          <w:tcPr>
            <w:tcW w:w="1327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0.00</w:t>
            </w:r>
          </w:p>
        </w:tc>
        <w:tc>
          <w:tcPr>
            <w:tcW w:w="918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0.0%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22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kern w:val="0"/>
                <w:highlight w:val="none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</w:rPr>
              <w:t>混合类</w:t>
            </w:r>
          </w:p>
        </w:tc>
        <w:tc>
          <w:tcPr>
            <w:tcW w:w="658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0.0%</w:t>
            </w:r>
          </w:p>
        </w:tc>
        <w:tc>
          <w:tcPr>
            <w:tcW w:w="1362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0.00</w:t>
            </w:r>
          </w:p>
        </w:tc>
        <w:tc>
          <w:tcPr>
            <w:tcW w:w="888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0.0%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0</w:t>
            </w:r>
          </w:p>
        </w:tc>
        <w:tc>
          <w:tcPr>
            <w:tcW w:w="981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0.0%</w:t>
            </w:r>
          </w:p>
        </w:tc>
        <w:tc>
          <w:tcPr>
            <w:tcW w:w="1327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0.00</w:t>
            </w:r>
          </w:p>
        </w:tc>
        <w:tc>
          <w:tcPr>
            <w:tcW w:w="918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0.0%</w:t>
            </w:r>
          </w:p>
        </w:tc>
      </w:tr>
    </w:tbl>
    <w:p>
      <w:pPr>
        <w:pStyle w:val="2"/>
        <w:jc w:val="center"/>
        <w:rPr>
          <w:rFonts w:hint="eastAsia" w:ascii="宋体" w:hAnsi="宋体" w:eastAsia="宋体" w:cs="宋体"/>
          <w:b/>
          <w:sz w:val="30"/>
          <w:szCs w:val="30"/>
          <w:highlight w:val="none"/>
        </w:rPr>
      </w:pPr>
    </w:p>
    <w:p>
      <w:pPr>
        <w:pStyle w:val="2"/>
        <w:jc w:val="center"/>
        <w:rPr>
          <w:rFonts w:hint="eastAsia" w:ascii="宋体" w:hAnsi="宋体" w:eastAsia="宋体" w:cs="宋体"/>
          <w:b/>
          <w:sz w:val="30"/>
          <w:szCs w:val="30"/>
          <w:highlight w:val="none"/>
        </w:rPr>
      </w:pPr>
    </w:p>
    <w:p>
      <w:pPr>
        <w:pStyle w:val="2"/>
        <w:jc w:val="center"/>
        <w:rPr>
          <w:rFonts w:hint="eastAsia" w:ascii="宋体" w:hAnsi="宋体" w:eastAsia="宋体" w:cs="宋体"/>
          <w:b w:val="0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sz w:val="30"/>
          <w:szCs w:val="30"/>
          <w:highlight w:val="none"/>
        </w:rPr>
        <w:t>第二章 期末全部产品资产持仓情况</w:t>
      </w:r>
    </w:p>
    <w:tbl>
      <w:tblPr>
        <w:tblStyle w:val="8"/>
        <w:tblW w:w="89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7"/>
        <w:gridCol w:w="1403"/>
        <w:gridCol w:w="1882"/>
        <w:gridCol w:w="1350"/>
        <w:gridCol w:w="20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5" w:hRule="atLeast"/>
          <w:jc w:val="center"/>
        </w:trPr>
        <w:tc>
          <w:tcPr>
            <w:tcW w:w="2277" w:type="dxa"/>
            <w:shd w:val="clear" w:color="auto" w:fill="76923C" w:themeFill="accent3" w:themeFillShade="BF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</w:rPr>
              <w:t>资产类别</w:t>
            </w:r>
          </w:p>
        </w:tc>
        <w:tc>
          <w:tcPr>
            <w:tcW w:w="1403" w:type="dxa"/>
            <w:shd w:val="clear" w:color="auto" w:fill="76923C" w:themeFill="accent3" w:themeFillShade="BF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highlight w:val="none"/>
              </w:rPr>
              <w:t>穿透前金额</w:t>
            </w:r>
          </w:p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highlight w:val="none"/>
              </w:rPr>
              <w:t>（万元）</w:t>
            </w:r>
          </w:p>
        </w:tc>
        <w:tc>
          <w:tcPr>
            <w:tcW w:w="1882" w:type="dxa"/>
            <w:shd w:val="clear" w:color="auto" w:fill="76923C" w:themeFill="accent3" w:themeFillShade="BF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</w:rPr>
              <w:t>占全部产品总资产的比例（%）</w:t>
            </w:r>
          </w:p>
        </w:tc>
        <w:tc>
          <w:tcPr>
            <w:tcW w:w="1350" w:type="dxa"/>
            <w:shd w:val="clear" w:color="auto" w:fill="76923C" w:themeFill="accent3" w:themeFillShade="BF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highlight w:val="none"/>
              </w:rPr>
              <w:t>穿透后金额</w:t>
            </w:r>
          </w:p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highlight w:val="none"/>
              </w:rPr>
              <w:t>（万元）</w:t>
            </w:r>
          </w:p>
        </w:tc>
        <w:tc>
          <w:tcPr>
            <w:tcW w:w="2082" w:type="dxa"/>
            <w:shd w:val="clear" w:color="auto" w:fill="76923C" w:themeFill="accent3" w:themeFillShade="BF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</w:rPr>
              <w:t>占全部产品总资产的比例（%）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77" w:type="dxa"/>
            <w:shd w:val="clear" w:color="auto" w:fill="auto"/>
            <w:vAlign w:val="center"/>
          </w:tcPr>
          <w:p>
            <w:pPr>
              <w:spacing w:after="0" w:line="360" w:lineRule="auto"/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  <w:t>固定收益类</w:t>
            </w:r>
          </w:p>
        </w:tc>
        <w:tc>
          <w:tcPr>
            <w:tcW w:w="1403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1056991.66</w:t>
            </w:r>
          </w:p>
        </w:tc>
        <w:tc>
          <w:tcPr>
            <w:tcW w:w="1882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98.65</w:t>
            </w:r>
            <w:r>
              <w:rPr>
                <w:rFonts w:hint="eastAsia" w:ascii="宋体" w:hAnsi="宋体" w:eastAsia="宋体" w:cs="宋体"/>
                <w:highlight w:val="none"/>
              </w:rPr>
              <w:t>%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1056991.66</w:t>
            </w:r>
          </w:p>
        </w:tc>
        <w:tc>
          <w:tcPr>
            <w:tcW w:w="2082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98.65</w:t>
            </w:r>
            <w:r>
              <w:rPr>
                <w:rFonts w:hint="eastAsia" w:ascii="宋体" w:hAnsi="宋体" w:eastAsia="宋体" w:cs="宋体"/>
                <w:highlight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77" w:type="dxa"/>
            <w:shd w:val="clear" w:color="auto" w:fill="auto"/>
            <w:vAlign w:val="center"/>
          </w:tcPr>
          <w:p>
            <w:pPr>
              <w:spacing w:after="0" w:line="360" w:lineRule="auto"/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  <w:t>权益类</w:t>
            </w:r>
          </w:p>
        </w:tc>
        <w:tc>
          <w:tcPr>
            <w:tcW w:w="1403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0.00</w:t>
            </w:r>
          </w:p>
        </w:tc>
        <w:tc>
          <w:tcPr>
            <w:tcW w:w="1882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0.0%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0.00</w:t>
            </w:r>
          </w:p>
        </w:tc>
        <w:tc>
          <w:tcPr>
            <w:tcW w:w="2082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0.0%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77" w:type="dxa"/>
            <w:shd w:val="clear" w:color="auto" w:fill="auto"/>
            <w:vAlign w:val="center"/>
          </w:tcPr>
          <w:p>
            <w:pPr>
              <w:spacing w:after="0" w:line="360" w:lineRule="auto"/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  <w:t>商品及金融衍生品类</w:t>
            </w:r>
          </w:p>
        </w:tc>
        <w:tc>
          <w:tcPr>
            <w:tcW w:w="1403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0.00</w:t>
            </w:r>
          </w:p>
        </w:tc>
        <w:tc>
          <w:tcPr>
            <w:tcW w:w="1882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0.0%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0.00</w:t>
            </w:r>
          </w:p>
        </w:tc>
        <w:tc>
          <w:tcPr>
            <w:tcW w:w="2082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0.0%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77" w:type="dxa"/>
            <w:shd w:val="clear" w:color="auto" w:fill="auto"/>
            <w:vAlign w:val="center"/>
          </w:tcPr>
          <w:p>
            <w:pPr>
              <w:spacing w:after="0" w:line="360" w:lineRule="auto"/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  <w:t>资产管理产品</w:t>
            </w:r>
          </w:p>
        </w:tc>
        <w:tc>
          <w:tcPr>
            <w:tcW w:w="1403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0.00</w:t>
            </w:r>
          </w:p>
        </w:tc>
        <w:tc>
          <w:tcPr>
            <w:tcW w:w="1882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0.0%</w:t>
            </w:r>
            <w:bookmarkStart w:id="6" w:name="_GoBack"/>
            <w:bookmarkEnd w:id="6"/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-</w:t>
            </w:r>
          </w:p>
        </w:tc>
        <w:tc>
          <w:tcPr>
            <w:tcW w:w="2082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金标宋体" w:hAnsi="金标宋体" w:eastAsia="金标宋体" w:cs="金标宋体"/>
                <w:highlight w:val="none"/>
                <w:lang w:val="en-US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77" w:type="dxa"/>
            <w:shd w:val="clear" w:color="auto" w:fill="auto"/>
            <w:vAlign w:val="center"/>
          </w:tcPr>
          <w:p>
            <w:pPr>
              <w:spacing w:after="0" w:line="360" w:lineRule="auto"/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  <w:t>其他类</w:t>
            </w:r>
          </w:p>
        </w:tc>
        <w:tc>
          <w:tcPr>
            <w:tcW w:w="1403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宋体" w:hAnsi="宋体" w:eastAsia="宋体" w:cs="宋体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14505.43</w:t>
            </w:r>
          </w:p>
        </w:tc>
        <w:tc>
          <w:tcPr>
            <w:tcW w:w="1882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1.3</w:t>
            </w:r>
            <w:r>
              <w:rPr>
                <w:rFonts w:hint="eastAsia" w:ascii="宋体" w:hAnsi="宋体" w:eastAsia="宋体" w:cs="宋体"/>
                <w:highlight w:val="none"/>
              </w:rPr>
              <w:t>5%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14505.43</w:t>
            </w:r>
          </w:p>
        </w:tc>
        <w:tc>
          <w:tcPr>
            <w:tcW w:w="2082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1.3</w:t>
            </w:r>
            <w:r>
              <w:rPr>
                <w:rFonts w:hint="eastAsia" w:ascii="宋体" w:hAnsi="宋体" w:eastAsia="宋体" w:cs="宋体"/>
                <w:highlight w:val="none"/>
              </w:rPr>
              <w:t>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77" w:type="dxa"/>
            <w:shd w:val="clear" w:color="auto" w:fill="auto"/>
            <w:vAlign w:val="center"/>
          </w:tcPr>
          <w:p>
            <w:pPr>
              <w:spacing w:after="0" w:line="360" w:lineRule="auto"/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  <w:t>合计</w:t>
            </w:r>
          </w:p>
        </w:tc>
        <w:tc>
          <w:tcPr>
            <w:tcW w:w="1403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宋体" w:hAnsi="宋体" w:eastAsia="宋体" w:cs="宋体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  <w:t>1071497.09</w:t>
            </w:r>
          </w:p>
        </w:tc>
        <w:tc>
          <w:tcPr>
            <w:tcW w:w="1882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100%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highlight w:val="none"/>
                <w:lang w:val="en-US" w:eastAsia="zh-CN"/>
              </w:rPr>
              <w:t>1071497.09</w:t>
            </w:r>
          </w:p>
        </w:tc>
        <w:tc>
          <w:tcPr>
            <w:tcW w:w="2082" w:type="dxa"/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100%</w:t>
            </w:r>
          </w:p>
        </w:tc>
      </w:tr>
    </w:tbl>
    <w:p>
      <w:pPr>
        <w:spacing w:after="0"/>
        <w:rPr>
          <w:rFonts w:hint="eastAsia" w:ascii="宋体" w:hAnsi="宋体" w:eastAsia="宋体" w:cs="宋体"/>
          <w:highlight w:val="none"/>
        </w:rPr>
      </w:pPr>
      <w:bookmarkStart w:id="5" w:name="_Toc6408612"/>
      <w:r>
        <w:rPr>
          <w:rFonts w:hint="eastAsia" w:ascii="宋体" w:hAnsi="宋体" w:eastAsia="宋体" w:cs="宋体"/>
          <w:highlight w:val="none"/>
        </w:rPr>
        <w:t>注：上述资产类别中，固定收益类资产包括现金及银行存款、同业存单、拆放同业及买入返售、债券、理财直接融资工具、新增可投资资产、非标准化债权类资产；权益类资产包括股票与股权等；商品及金融衍生品类资产包括金融衍生品、商品类资产与另类资产；资产管理产品类资产包括私募基金、资产管理产品、委外投资——协议委外；其他类资产包括公募基金、代客境外理财投资QDII。</w:t>
      </w:r>
    </w:p>
    <w:p>
      <w:pPr>
        <w:pStyle w:val="2"/>
        <w:jc w:val="center"/>
        <w:rPr>
          <w:rFonts w:hint="eastAsia" w:ascii="宋体" w:hAnsi="宋体" w:eastAsia="宋体" w:cs="宋体"/>
          <w:b/>
          <w:sz w:val="30"/>
          <w:szCs w:val="30"/>
          <w:highlight w:val="none"/>
        </w:rPr>
      </w:pPr>
    </w:p>
    <w:p>
      <w:pPr>
        <w:pStyle w:val="2"/>
        <w:jc w:val="center"/>
        <w:rPr>
          <w:rFonts w:hint="eastAsia" w:ascii="宋体" w:hAnsi="宋体" w:eastAsia="宋体" w:cs="宋体"/>
          <w:b/>
          <w:sz w:val="30"/>
          <w:szCs w:val="30"/>
          <w:highlight w:val="none"/>
        </w:rPr>
      </w:pPr>
    </w:p>
    <w:p>
      <w:pPr>
        <w:rPr>
          <w:rFonts w:hint="eastAsia"/>
          <w:highlight w:val="none"/>
        </w:rPr>
      </w:pPr>
    </w:p>
    <w:p>
      <w:pPr>
        <w:pStyle w:val="2"/>
        <w:jc w:val="center"/>
        <w:rPr>
          <w:rFonts w:hint="eastAsia" w:ascii="宋体" w:hAnsi="宋体" w:eastAsia="宋体" w:cs="宋体"/>
          <w:b/>
          <w:sz w:val="24"/>
          <w:highlight w:val="none"/>
        </w:rPr>
      </w:pPr>
      <w:r>
        <w:rPr>
          <w:rFonts w:hint="eastAsia" w:ascii="宋体" w:hAnsi="宋体" w:eastAsia="宋体" w:cs="宋体"/>
          <w:b/>
          <w:sz w:val="30"/>
          <w:szCs w:val="30"/>
          <w:highlight w:val="none"/>
        </w:rPr>
        <w:t>第三章 影响投资者决策的其他重要信息</w:t>
      </w:r>
      <w:bookmarkEnd w:id="5"/>
    </w:p>
    <w:tbl>
      <w:tblPr>
        <w:tblStyle w:val="8"/>
        <w:tblW w:w="97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highlight w:val="none"/>
              </w:rPr>
            </w:pPr>
          </w:p>
        </w:tc>
      </w:tr>
    </w:tbl>
    <w:p>
      <w:pPr>
        <w:pStyle w:val="4"/>
        <w:ind w:firstLine="735" w:firstLineChars="350"/>
        <w:rPr>
          <w:highlight w:val="none"/>
        </w:rPr>
      </w:pPr>
    </w:p>
    <w:p>
      <w:pPr>
        <w:pStyle w:val="4"/>
        <w:rPr>
          <w:rFonts w:ascii="宋体"/>
          <w:sz w:val="20"/>
          <w:highlight w:val="none"/>
        </w:rPr>
      </w:pPr>
    </w:p>
    <w:p>
      <w:pPr>
        <w:pStyle w:val="4"/>
        <w:rPr>
          <w:rFonts w:ascii="宋体"/>
          <w:sz w:val="20"/>
          <w:highlight w:val="none"/>
        </w:rPr>
      </w:pPr>
    </w:p>
    <w:p>
      <w:pPr>
        <w:pStyle w:val="4"/>
        <w:spacing w:before="9"/>
        <w:rPr>
          <w:rFonts w:ascii="宋体"/>
          <w:sz w:val="11"/>
          <w:highlight w:val="none"/>
        </w:rPr>
      </w:pPr>
      <w:r>
        <w:rPr>
          <w:highlight w:val="none"/>
        </w:rPr>
        <w:pict>
          <v:line id="_x0000_s1026" o:spid="_x0000_s1026" o:spt="20" style="position:absolute;left:0pt;margin-left:54.75pt;margin-top:10.65pt;height:0pt;width:481.5pt;mso-position-horizontal-relative:page;mso-wrap-distance-bottom:0pt;mso-wrap-distance-top:0pt;z-index:-251656192;mso-width-relative:page;mso-height-relative:page;" stroked="t" coordsize="21600,21600">
            <v:path arrowok="t"/>
            <v:fill focussize="0,0"/>
            <v:stroke weight="3pt" color="#76923C"/>
            <v:imagedata o:title=""/>
            <o:lock v:ext="edit"/>
            <w10:wrap type="topAndBottom"/>
          </v:line>
        </w:pict>
      </w:r>
    </w:p>
    <w:p>
      <w:pPr>
        <w:ind w:firstLine="375" w:firstLineChars="250"/>
        <w:rPr>
          <w:sz w:val="15"/>
          <w:szCs w:val="15"/>
          <w:highlight w:val="none"/>
        </w:rPr>
      </w:pPr>
      <w:r>
        <w:rPr>
          <w:rFonts w:hint="eastAsia"/>
          <w:sz w:val="15"/>
          <w:szCs w:val="15"/>
          <w:highlight w:val="none"/>
        </w:rPr>
        <w:t>本报告版权仅为我行所有，未经书面许可任何机构和个人不得以任何形式翻版、复制、刊登、发表和引用。我行对本报告保留随时补充、</w:t>
      </w:r>
    </w:p>
    <w:p>
      <w:pPr>
        <w:rPr>
          <w:rFonts w:hint="eastAsia"/>
          <w:sz w:val="15"/>
          <w:szCs w:val="15"/>
          <w:highlight w:val="none"/>
        </w:rPr>
      </w:pPr>
      <w:r>
        <w:rPr>
          <w:rFonts w:hint="eastAsia"/>
          <w:sz w:val="15"/>
          <w:szCs w:val="15"/>
          <w:highlight w:val="none"/>
        </w:rPr>
        <w:t>更新和修订的权利，以及最终解释权。</w:t>
      </w:r>
    </w:p>
    <w:p>
      <w:pPr>
        <w:rPr>
          <w:rFonts w:hint="eastAsia"/>
          <w:sz w:val="15"/>
          <w:szCs w:val="15"/>
          <w:highlight w:val="none"/>
        </w:rPr>
      </w:pPr>
    </w:p>
    <w:p>
      <w:pPr>
        <w:rPr>
          <w:rFonts w:hint="eastAsia"/>
          <w:sz w:val="15"/>
          <w:szCs w:val="15"/>
          <w:highlight w:val="none"/>
        </w:rPr>
      </w:pPr>
    </w:p>
    <w:p>
      <w:pPr>
        <w:rPr>
          <w:rFonts w:hint="eastAsia"/>
          <w:sz w:val="15"/>
          <w:szCs w:val="15"/>
          <w:highlight w:val="none"/>
        </w:rPr>
      </w:pPr>
    </w:p>
    <w:p>
      <w:pPr>
        <w:rPr>
          <w:rFonts w:hint="eastAsia"/>
          <w:sz w:val="15"/>
          <w:szCs w:val="15"/>
          <w:highlight w:val="none"/>
        </w:rPr>
      </w:pPr>
    </w:p>
    <w:p>
      <w:pPr>
        <w:rPr>
          <w:rFonts w:hint="eastAsia"/>
          <w:sz w:val="15"/>
          <w:szCs w:val="15"/>
          <w:highlight w:val="none"/>
        </w:rPr>
      </w:pPr>
    </w:p>
    <w:p>
      <w:pPr>
        <w:rPr>
          <w:rFonts w:hint="eastAsia"/>
          <w:sz w:val="15"/>
          <w:szCs w:val="15"/>
          <w:highlight w:val="none"/>
        </w:rPr>
      </w:pPr>
    </w:p>
    <w:p>
      <w:pPr>
        <w:rPr>
          <w:rFonts w:hint="eastAsia"/>
          <w:sz w:val="15"/>
          <w:szCs w:val="15"/>
          <w:highlight w:val="none"/>
        </w:rPr>
      </w:pPr>
    </w:p>
    <w:p>
      <w:pPr>
        <w:rPr>
          <w:rFonts w:hint="eastAsia"/>
          <w:sz w:val="15"/>
          <w:szCs w:val="15"/>
          <w:highlight w:val="none"/>
        </w:rPr>
      </w:pPr>
    </w:p>
    <w:p>
      <w:pPr>
        <w:rPr>
          <w:rFonts w:hint="eastAsia"/>
          <w:sz w:val="15"/>
          <w:szCs w:val="15"/>
          <w:highlight w:val="none"/>
        </w:rPr>
      </w:pPr>
    </w:p>
    <w:sectPr>
      <w:headerReference r:id="rId3" w:type="default"/>
      <w:pgSz w:w="11900" w:h="16850"/>
      <w:pgMar w:top="1340" w:right="640" w:bottom="280" w:left="98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10" w:usb3="00000000" w:csb0="00040000" w:csb1="00000000"/>
  </w:font>
  <w:font w:name="金标宋体">
    <w:altName w:val="宋体"/>
    <w:panose1 w:val="00000000000000000000"/>
    <w:charset w:val="86"/>
    <w:family w:val="auto"/>
    <w:pitch w:val="default"/>
    <w:sig w:usb0="00000000" w:usb1="0000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lang w:val="en-US" w:bidi="ar-SA"/>
      </w:rPr>
    </w:pPr>
  </w:p>
  <w:p>
    <w:pPr>
      <w:pStyle w:val="4"/>
      <w:spacing w:line="14" w:lineRule="auto"/>
      <w:rPr>
        <w:lang w:val="en-US" w:bidi="ar-SA"/>
      </w:rPr>
    </w:pPr>
  </w:p>
  <w:p>
    <w:pPr>
      <w:pStyle w:val="4"/>
      <w:spacing w:line="14" w:lineRule="auto"/>
      <w:rPr>
        <w:lang w:val="en-US" w:bidi="ar-SA"/>
      </w:rPr>
    </w:pPr>
  </w:p>
  <w:p>
    <w:pPr>
      <w:pStyle w:val="4"/>
      <w:spacing w:line="14" w:lineRule="auto"/>
      <w:rPr>
        <w:lang w:val="en-US" w:bidi="ar-SA"/>
      </w:rPr>
    </w:pPr>
  </w:p>
  <w:p>
    <w:pPr>
      <w:pStyle w:val="4"/>
      <w:spacing w:line="14" w:lineRule="auto"/>
      <w:rPr>
        <w:lang w:val="en-US" w:bidi="ar-SA"/>
      </w:rPr>
    </w:pPr>
  </w:p>
  <w:p>
    <w:pPr>
      <w:pStyle w:val="4"/>
      <w:spacing w:line="14" w:lineRule="auto"/>
      <w:rPr>
        <w:lang w:val="en-US" w:bidi="ar-SA"/>
      </w:rPr>
    </w:pPr>
  </w:p>
  <w:p>
    <w:pPr>
      <w:pStyle w:val="4"/>
      <w:spacing w:line="14" w:lineRule="auto"/>
      <w:rPr>
        <w:lang w:val="en-US" w:bidi="ar-SA"/>
      </w:rPr>
    </w:pPr>
  </w:p>
  <w:p>
    <w:pPr>
      <w:pStyle w:val="4"/>
      <w:spacing w:line="14" w:lineRule="auto"/>
      <w:rPr>
        <w:lang w:val="en-US" w:bidi="ar-SA"/>
      </w:rPr>
    </w:pPr>
  </w:p>
  <w:p>
    <w:pPr>
      <w:pStyle w:val="4"/>
      <w:spacing w:line="14" w:lineRule="auto"/>
      <w:rPr>
        <w:lang w:val="en-US" w:bidi="ar-SA"/>
      </w:rPr>
    </w:pPr>
  </w:p>
  <w:p>
    <w:pPr>
      <w:pStyle w:val="4"/>
      <w:spacing w:line="14" w:lineRule="auto"/>
      <w:rPr>
        <w:lang w:val="en-US" w:bidi="ar-SA"/>
      </w:rPr>
    </w:pPr>
  </w:p>
  <w:p>
    <w:pPr>
      <w:pStyle w:val="4"/>
      <w:spacing w:line="14" w:lineRule="auto"/>
      <w:rPr>
        <w:lang w:val="en-US" w:bidi="ar-SA"/>
      </w:rPr>
    </w:pPr>
  </w:p>
  <w:p>
    <w:pPr>
      <w:pStyle w:val="4"/>
      <w:spacing w:line="14" w:lineRule="auto"/>
      <w:rPr>
        <w:lang w:val="en-US" w:bidi="ar-SA"/>
      </w:rPr>
    </w:pPr>
  </w:p>
  <w:p>
    <w:pPr>
      <w:pStyle w:val="4"/>
      <w:spacing w:line="14" w:lineRule="auto"/>
      <w:rPr>
        <w:lang w:val="en-US" w:bidi="ar-SA"/>
      </w:rPr>
    </w:pPr>
  </w:p>
  <w:p>
    <w:pPr>
      <w:pStyle w:val="4"/>
      <w:spacing w:line="14" w:lineRule="auto"/>
      <w:rPr>
        <w:lang w:val="en-US" w:bidi="ar-SA"/>
      </w:rPr>
    </w:pPr>
  </w:p>
  <w:p>
    <w:pPr>
      <w:pStyle w:val="4"/>
      <w:spacing w:line="14" w:lineRule="auto"/>
      <w:rPr>
        <w:lang w:val="en-US" w:bidi="ar-SA"/>
      </w:rPr>
    </w:pPr>
  </w:p>
  <w:p>
    <w:pPr>
      <w:pStyle w:val="4"/>
      <w:spacing w:line="14" w:lineRule="auto"/>
      <w:rPr>
        <w:lang w:val="en-US" w:bidi="ar-SA"/>
      </w:rPr>
    </w:pPr>
  </w:p>
  <w:p>
    <w:pPr>
      <w:pStyle w:val="4"/>
      <w:spacing w:line="14" w:lineRule="auto"/>
      <w:rPr>
        <w:lang w:val="en-US" w:bidi="ar-SA"/>
      </w:rPr>
    </w:pPr>
  </w:p>
  <w:p>
    <w:pPr>
      <w:pStyle w:val="4"/>
      <w:spacing w:line="14" w:lineRule="auto"/>
      <w:rPr>
        <w:lang w:val="en-US" w:bidi="ar-SA"/>
      </w:rPr>
    </w:pPr>
  </w:p>
  <w:p>
    <w:pPr>
      <w:pStyle w:val="4"/>
      <w:spacing w:line="14" w:lineRule="auto"/>
      <w:rPr>
        <w:lang w:val="en-US" w:bidi="ar-SA"/>
      </w:rPr>
    </w:pPr>
  </w:p>
  <w:p>
    <w:pPr>
      <w:pStyle w:val="4"/>
      <w:spacing w:line="14" w:lineRule="auto"/>
      <w:rPr>
        <w:lang w:val="en-US" w:bidi="ar-SA"/>
      </w:rPr>
    </w:pPr>
  </w:p>
  <w:p>
    <w:pPr>
      <w:pStyle w:val="4"/>
      <w:spacing w:line="14" w:lineRule="auto"/>
      <w:rPr>
        <w:lang w:val="en-US" w:bidi="ar-SA"/>
      </w:rPr>
    </w:pPr>
  </w:p>
  <w:p>
    <w:pPr>
      <w:pStyle w:val="4"/>
      <w:spacing w:line="14" w:lineRule="auto"/>
      <w:rPr>
        <w:lang w:val="en-US" w:bidi="ar-SA"/>
      </w:rPr>
    </w:pPr>
  </w:p>
  <w:p>
    <w:pPr>
      <w:pStyle w:val="4"/>
      <w:spacing w:line="14" w:lineRule="auto"/>
      <w:rPr>
        <w:lang w:val="en-US" w:bidi="ar-SA"/>
      </w:rPr>
    </w:pPr>
  </w:p>
  <w:p>
    <w:pPr>
      <w:pStyle w:val="4"/>
      <w:spacing w:line="14" w:lineRule="auto"/>
      <w:rPr>
        <w:lang w:val="en-US" w:bidi="ar-SA"/>
      </w:rPr>
    </w:pPr>
  </w:p>
  <w:p>
    <w:pPr>
      <w:pStyle w:val="4"/>
      <w:spacing w:line="14" w:lineRule="auto"/>
      <w:rPr>
        <w:lang w:val="en-US" w:bidi="ar-SA"/>
      </w:rPr>
    </w:pPr>
  </w:p>
  <w:p>
    <w:pPr>
      <w:pStyle w:val="4"/>
      <w:spacing w:line="14" w:lineRule="auto"/>
      <w:rPr>
        <w:lang w:val="en-US" w:bidi="ar-SA"/>
      </w:rPr>
    </w:pPr>
  </w:p>
  <w:p>
    <w:pPr>
      <w:pStyle w:val="4"/>
      <w:spacing w:line="14" w:lineRule="auto"/>
      <w:rPr>
        <w:lang w:val="en-US" w:bidi="ar-SA"/>
      </w:rPr>
    </w:pPr>
  </w:p>
  <w:p>
    <w:pPr>
      <w:pStyle w:val="4"/>
      <w:spacing w:line="14" w:lineRule="auto"/>
      <w:rPr>
        <w:lang w:val="en-US" w:bidi="ar-SA"/>
      </w:rPr>
    </w:pPr>
  </w:p>
  <w:p>
    <w:pPr>
      <w:pStyle w:val="4"/>
      <w:spacing w:line="14" w:lineRule="auto"/>
      <w:rPr>
        <w:lang w:val="en-US" w:bidi="ar-SA"/>
      </w:rPr>
    </w:pPr>
  </w:p>
  <w:p>
    <w:pPr>
      <w:pStyle w:val="4"/>
      <w:spacing w:line="14" w:lineRule="auto"/>
      <w:rPr>
        <w:lang w:val="en-US" w:bidi="ar-SA"/>
      </w:rPr>
    </w:pPr>
  </w:p>
  <w:p>
    <w:pPr>
      <w:pStyle w:val="4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jliZDA2ODQ2MTg4MDAyNTllYmMxZDZhMWIzNTVmNjEifQ=="/>
  </w:docVars>
  <w:rsids>
    <w:rsidRoot w:val="00846040"/>
    <w:rsid w:val="00021809"/>
    <w:rsid w:val="000F627D"/>
    <w:rsid w:val="001B7AEC"/>
    <w:rsid w:val="00265CAE"/>
    <w:rsid w:val="003D12F1"/>
    <w:rsid w:val="004300C7"/>
    <w:rsid w:val="00437C6C"/>
    <w:rsid w:val="0046248D"/>
    <w:rsid w:val="004F4B2D"/>
    <w:rsid w:val="005C1854"/>
    <w:rsid w:val="006252F6"/>
    <w:rsid w:val="00774F87"/>
    <w:rsid w:val="00846040"/>
    <w:rsid w:val="008E51C6"/>
    <w:rsid w:val="00A10D62"/>
    <w:rsid w:val="00AA2CBC"/>
    <w:rsid w:val="00D72657"/>
    <w:rsid w:val="00E43341"/>
    <w:rsid w:val="00E71921"/>
    <w:rsid w:val="02D504B1"/>
    <w:rsid w:val="030B4C78"/>
    <w:rsid w:val="05EC5425"/>
    <w:rsid w:val="0A7D7D54"/>
    <w:rsid w:val="0AD84077"/>
    <w:rsid w:val="0DBA1F69"/>
    <w:rsid w:val="0F135152"/>
    <w:rsid w:val="0F2B1D59"/>
    <w:rsid w:val="0FEE51DF"/>
    <w:rsid w:val="11332521"/>
    <w:rsid w:val="121F0F35"/>
    <w:rsid w:val="12C92AEE"/>
    <w:rsid w:val="13462EC8"/>
    <w:rsid w:val="1B8A6F68"/>
    <w:rsid w:val="1DA0719E"/>
    <w:rsid w:val="1EA638C5"/>
    <w:rsid w:val="1EF132D5"/>
    <w:rsid w:val="1F0A0A33"/>
    <w:rsid w:val="1F401A18"/>
    <w:rsid w:val="1FAB2F55"/>
    <w:rsid w:val="223D3E5A"/>
    <w:rsid w:val="224B5800"/>
    <w:rsid w:val="23E21763"/>
    <w:rsid w:val="246A1BF7"/>
    <w:rsid w:val="24AE34FB"/>
    <w:rsid w:val="252B560A"/>
    <w:rsid w:val="270519ED"/>
    <w:rsid w:val="29F9150E"/>
    <w:rsid w:val="2DDE5476"/>
    <w:rsid w:val="2F8C2256"/>
    <w:rsid w:val="2F972FF6"/>
    <w:rsid w:val="2FA96B18"/>
    <w:rsid w:val="302C0399"/>
    <w:rsid w:val="316462A1"/>
    <w:rsid w:val="32900D45"/>
    <w:rsid w:val="32AB32B9"/>
    <w:rsid w:val="33DA4AD5"/>
    <w:rsid w:val="36740705"/>
    <w:rsid w:val="36F418D6"/>
    <w:rsid w:val="3AD969A0"/>
    <w:rsid w:val="403933E1"/>
    <w:rsid w:val="41682FFA"/>
    <w:rsid w:val="422D2527"/>
    <w:rsid w:val="450A2511"/>
    <w:rsid w:val="49E14762"/>
    <w:rsid w:val="4C77441D"/>
    <w:rsid w:val="4D5314B0"/>
    <w:rsid w:val="4DCC2FDA"/>
    <w:rsid w:val="4E653768"/>
    <w:rsid w:val="4ED83812"/>
    <w:rsid w:val="50297C54"/>
    <w:rsid w:val="51DB63E2"/>
    <w:rsid w:val="536A3BE4"/>
    <w:rsid w:val="53D37FD9"/>
    <w:rsid w:val="56632182"/>
    <w:rsid w:val="57D707E5"/>
    <w:rsid w:val="59117346"/>
    <w:rsid w:val="5B8F6627"/>
    <w:rsid w:val="5C041274"/>
    <w:rsid w:val="5C217E0A"/>
    <w:rsid w:val="5C7E5F8D"/>
    <w:rsid w:val="5ED200FC"/>
    <w:rsid w:val="5F136292"/>
    <w:rsid w:val="5F3633BF"/>
    <w:rsid w:val="5FAE32AE"/>
    <w:rsid w:val="5FB63E6B"/>
    <w:rsid w:val="616805DD"/>
    <w:rsid w:val="624F1D3D"/>
    <w:rsid w:val="63983A07"/>
    <w:rsid w:val="6C336A31"/>
    <w:rsid w:val="6C845D79"/>
    <w:rsid w:val="6CBF54B4"/>
    <w:rsid w:val="6CC34FCF"/>
    <w:rsid w:val="6D2D2BB1"/>
    <w:rsid w:val="6DAA4E99"/>
    <w:rsid w:val="6DB561DB"/>
    <w:rsid w:val="6F150138"/>
    <w:rsid w:val="6F3834F7"/>
    <w:rsid w:val="710B2AD5"/>
    <w:rsid w:val="78215210"/>
    <w:rsid w:val="78421EDB"/>
    <w:rsid w:val="798C252D"/>
    <w:rsid w:val="7A16448F"/>
    <w:rsid w:val="7A780D9C"/>
    <w:rsid w:val="7BB85CA8"/>
    <w:rsid w:val="7BEA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340" w:after="330" w:line="579" w:lineRule="auto"/>
      <w:outlineLvl w:val="0"/>
    </w:pPr>
    <w:rPr>
      <w:rFonts w:hint="default" w:ascii="Calibri" w:hAnsi="Calibri" w:eastAsia="宋体"/>
      <w:b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hint="default" w:ascii="Calibri Light" w:hAnsi="Calibri Light" w:eastAsia="宋体" w:cs="Times New Roman"/>
      <w:b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1"/>
      <w:szCs w:val="21"/>
    </w:r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autoSpaceDE/>
      <w:autoSpaceDN/>
      <w:jc w:val="both"/>
    </w:pPr>
    <w:rPr>
      <w:rFonts w:ascii="Times New Roman" w:hAnsi="Times New Roman" w:eastAsia="宋体" w:cs="Times New Roman"/>
      <w:sz w:val="20"/>
      <w:szCs w:val="20"/>
      <w:lang w:eastAsia="zh-C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Heading 1"/>
    <w:basedOn w:val="1"/>
    <w:qFormat/>
    <w:uiPriority w:val="1"/>
    <w:pPr>
      <w:ind w:left="100"/>
      <w:outlineLvl w:val="1"/>
    </w:pPr>
    <w:rPr>
      <w:b/>
      <w:bCs/>
      <w:sz w:val="24"/>
      <w:szCs w:val="24"/>
    </w:rPr>
  </w:style>
  <w:style w:type="paragraph" w:customStyle="1" w:styleId="13">
    <w:name w:val="Heading 2"/>
    <w:basedOn w:val="1"/>
    <w:qFormat/>
    <w:uiPriority w:val="1"/>
    <w:pPr>
      <w:ind w:left="820"/>
      <w:outlineLvl w:val="2"/>
    </w:pPr>
    <w:rPr>
      <w:sz w:val="24"/>
      <w:szCs w:val="24"/>
    </w:rPr>
  </w:style>
  <w:style w:type="paragraph" w:styleId="14">
    <w:name w:val="List Paragraph"/>
    <w:basedOn w:val="1"/>
    <w:qFormat/>
    <w:uiPriority w:val="1"/>
  </w:style>
  <w:style w:type="paragraph" w:customStyle="1" w:styleId="15">
    <w:name w:val="Table Paragraph"/>
    <w:basedOn w:val="1"/>
    <w:qFormat/>
    <w:uiPriority w:val="1"/>
    <w:pPr>
      <w:jc w:val="right"/>
    </w:pPr>
    <w:rPr>
      <w:rFonts w:ascii="Times New Roman" w:hAnsi="Times New Roman" w:eastAsia="Times New Roman" w:cs="Times New Roman"/>
    </w:rPr>
  </w:style>
  <w:style w:type="character" w:customStyle="1" w:styleId="16">
    <w:name w:val="页眉 Char"/>
    <w:basedOn w:val="10"/>
    <w:link w:val="7"/>
    <w:semiHidden/>
    <w:qFormat/>
    <w:uiPriority w:val="99"/>
    <w:rPr>
      <w:rFonts w:ascii="微软雅黑" w:hAnsi="微软雅黑" w:eastAsia="微软雅黑" w:cs="微软雅黑"/>
      <w:sz w:val="18"/>
      <w:szCs w:val="18"/>
      <w:lang w:val="zh-CN" w:eastAsia="zh-CN" w:bidi="zh-CN"/>
    </w:rPr>
  </w:style>
  <w:style w:type="character" w:customStyle="1" w:styleId="17">
    <w:name w:val="页脚 Char"/>
    <w:basedOn w:val="10"/>
    <w:link w:val="6"/>
    <w:semiHidden/>
    <w:qFormat/>
    <w:uiPriority w:val="99"/>
    <w:rPr>
      <w:rFonts w:ascii="微软雅黑" w:hAnsi="微软雅黑" w:eastAsia="微软雅黑" w:cs="微软雅黑"/>
      <w:sz w:val="18"/>
      <w:szCs w:val="18"/>
      <w:lang w:val="zh-CN" w:eastAsia="zh-CN" w:bidi="zh-CN"/>
    </w:rPr>
  </w:style>
  <w:style w:type="character" w:customStyle="1" w:styleId="18">
    <w:name w:val="批注框文本 Char"/>
    <w:basedOn w:val="10"/>
    <w:link w:val="5"/>
    <w:semiHidden/>
    <w:qFormat/>
    <w:uiPriority w:val="99"/>
    <w:rPr>
      <w:rFonts w:ascii="微软雅黑" w:hAnsi="微软雅黑" w:eastAsia="微软雅黑" w:cs="微软雅黑"/>
      <w:sz w:val="18"/>
      <w:szCs w:val="18"/>
      <w:lang w:val="zh-CN" w:eastAsia="zh-CN" w:bidi="zh-CN"/>
    </w:rPr>
  </w:style>
  <w:style w:type="character" w:customStyle="1" w:styleId="19">
    <w:name w:val="Subtle Emphasis"/>
    <w:basedOn w:val="10"/>
    <w:qFormat/>
    <w:uiPriority w:val="19"/>
    <w:rPr>
      <w:i/>
      <w:iCs/>
      <w:color w:val="7F7F7F" w:themeColor="text1" w:themeTint="7F"/>
    </w:rPr>
  </w:style>
  <w:style w:type="paragraph" w:customStyle="1" w:styleId="20">
    <w:name w:val="正文CCDC"/>
    <w:basedOn w:val="1"/>
    <w:qFormat/>
    <w:uiPriority w:val="0"/>
    <w:pPr>
      <w:widowControl w:val="0"/>
      <w:spacing w:after="0" w:line="360" w:lineRule="auto"/>
      <w:ind w:firstLine="200" w:firstLineChars="200"/>
      <w:jc w:val="both"/>
    </w:pPr>
    <w:rPr>
      <w:rFonts w:hint="default" w:ascii="仿宋_GB2312" w:hAnsi="Calibri" w:eastAsia="仿宋_GB2312" w:cs="Times New Roman"/>
      <w:color w:val="auto"/>
      <w:sz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B5E2C11-D077-4F59-BF3E-D66284A6ED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1409</Words>
  <Characters>1948</Characters>
  <Lines>9</Lines>
  <Paragraphs>2</Paragraphs>
  <TotalTime>0</TotalTime>
  <ScaleCrop>false</ScaleCrop>
  <LinksUpToDate>false</LinksUpToDate>
  <CharactersWithSpaces>1956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2019-07-31T03:54:00Z</dcterms:created>
  <dc:creator>Liz Liu</dc:creator>
  <cp:lastModifiedBy>Administrator</cp:lastModifiedBy>
  <dcterms:modified xsi:type="dcterms:W3CDTF">2026-07-20T09:02:55Z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2019-07-31T00:00:00Z</vt:filetime>
  </property>
  <property fmtid="{D5CDD505-2E9C-101B-9397-08002B2CF9AE}" pid="5" name="KSOProductBuildVer">
    <vt:lpwstr>2052-11.8.2.12085</vt:lpwstr>
  </property>
  <property fmtid="{D5CDD505-2E9C-101B-9397-08002B2CF9AE}" pid="6" name="ICV">
    <vt:lpwstr>62BC5E20764F43FF94A52DD615F1FD71</vt:lpwstr>
  </property>
  <property fmtid="{D5CDD505-2E9C-101B-9397-08002B2CF9AE}" pid="7" name="KSOTemplateDocerSaveRecord">
    <vt:lpwstr>eyJoZGlkIjoiZjliZDA2ODQ2MTg4MDAyNTllYmMxZDZhMWIzNTVmNjEiLCJ1c2VySWQiOiI2Mzg5Mjg1NTUifQ==</vt:lpwstr>
  </property>
</Properties>
</file>