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7E163C" w:rsidRDefault="007E163C">
      <w:pPr>
        <w:spacing w:before="240"/>
        <w:jc w:val="center"/>
      </w:pPr>
    </w:p>
    <w:p w:rsidR="007E163C" w:rsidRDefault="007E163C">
      <w:pPr>
        <w:spacing w:before="240"/>
        <w:jc w:val="center"/>
      </w:pPr>
    </w:p>
    <w:p w:rsidR="007E163C" w:rsidRDefault="007E163C">
      <w:pPr>
        <w:spacing w:before="240"/>
        <w:jc w:val="center"/>
      </w:pPr>
    </w:p>
    <w:p w:rsidR="007E163C" w:rsidRDefault="008D3CD9">
      <w:pPr>
        <w:spacing w:before="240"/>
        <w:jc w:val="center"/>
        <w:rPr>
          <w:rFonts w:ascii="方正黑体简体" w:eastAsia="方正黑体简体"/>
          <w:sz w:val="36"/>
        </w:rPr>
      </w:pPr>
      <w:r>
        <w:rPr>
          <w:rFonts w:ascii="方正黑体简体" w:eastAsia="方正黑体简体"/>
          <w:sz w:val="36"/>
        </w:rPr>
        <w:t>南银理财珠联璧合鑫悦享1912三个月定开公募人民币理财产品</w:t>
      </w:r>
    </w:p>
    <w:p w:rsidR="007E163C" w:rsidRDefault="008D3CD9">
      <w:pPr>
        <w:spacing w:before="240"/>
        <w:jc w:val="center"/>
        <w:rPr>
          <w:rFonts w:ascii="方正黑体简体" w:eastAsia="方正黑体简体" w:hAnsi="黑体"/>
          <w:sz w:val="36"/>
        </w:rPr>
      </w:pPr>
      <w:r>
        <w:rPr>
          <w:rFonts w:ascii="方正黑体简体" w:eastAsia="方正黑体简体" w:hAnsi="黑体"/>
          <w:sz w:val="36"/>
        </w:rPr>
        <w:t>2025年</w:t>
      </w:r>
      <w:r>
        <w:rPr>
          <w:rFonts w:ascii="方正黑体简体" w:eastAsia="方正黑体简体" w:hAnsi="Calibri" w:hint="eastAsia"/>
          <w:sz w:val="36"/>
        </w:rPr>
        <w:t>年度</w:t>
      </w:r>
      <w:r>
        <w:rPr>
          <w:rFonts w:ascii="方正黑体简体" w:eastAsia="方正黑体简体" w:hAnsi="黑体"/>
          <w:sz w:val="36"/>
        </w:rPr>
        <w:t>报告</w:t>
      </w: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7E163C">
      <w:pPr>
        <w:spacing w:before="240"/>
        <w:jc w:val="center"/>
        <w:rPr>
          <w:rFonts w:ascii="黑体" w:eastAsia="黑体" w:hAnsi="黑体"/>
          <w:sz w:val="36"/>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br w:type="page"/>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§1 产品概况</w:t>
      </w:r>
    </w:p>
    <w:p w:rsidR="007E163C" w:rsidRDefault="007E163C">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南银理财珠联璧合鑫悦享1912三个月定开公募人民币理财产品</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Z7003220000011（投资者可依据该编码在中国理财网www.chinawealth.com.cn查询理财产品相关信息）</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2019年12月18日</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1,664,260,384.08份</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sz w:val="24"/>
                <w:szCs w:val="24"/>
              </w:rPr>
              <w:t>104.52%</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中粮信托有限责任公司,华泰资产管理有限公司,紫金信托有限责任公司,鑫沅资产管理有限公司,陆家嘴国际信托有限公司,太平洋资产管理有限责任公司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7E163C">
        <w:tc>
          <w:tcPr>
            <w:tcW w:w="2811"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7E163C" w:rsidRDefault="008D3CD9" w:rsidP="00723532">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Calibri"/>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2.1 主要财务指标</w:t>
      </w:r>
    </w:p>
    <w:p w:rsidR="007E163C" w:rsidRDefault="008D3CD9">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7E163C">
        <w:tc>
          <w:tcPr>
            <w:tcW w:w="2122" w:type="dxa"/>
            <w:vMerge w:val="restart"/>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报告期（2025年01月01日 - 2025年12月31日）</w:t>
            </w:r>
          </w:p>
        </w:tc>
      </w:tr>
      <w:tr w:rsidR="007E163C">
        <w:tc>
          <w:tcPr>
            <w:tcW w:w="2122" w:type="dxa"/>
            <w:vMerge/>
            <w:vAlign w:val="center"/>
          </w:tcPr>
          <w:p w:rsidR="007E163C" w:rsidRDefault="007E163C" w:rsidP="00723532">
            <w:pPr>
              <w:spacing w:before="240" w:afterLines="50" w:line="360" w:lineRule="auto"/>
              <w:jc w:val="center"/>
              <w:rPr>
                <w:rFonts w:ascii="方正仿宋简体" w:eastAsia="方正仿宋简体"/>
                <w:sz w:val="24"/>
                <w:szCs w:val="24"/>
              </w:rPr>
            </w:pPr>
          </w:p>
        </w:tc>
        <w:tc>
          <w:tcPr>
            <w:tcW w:w="2551"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1418"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1275"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c>
          <w:tcPr>
            <w:tcW w:w="19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1,852,484,390.75</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1.1475</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1.2350</w:t>
            </w:r>
          </w:p>
        </w:tc>
        <w:tc>
          <w:tcPr>
            <w:tcW w:w="1956" w:type="dxa"/>
            <w:vMerge w:val="restart"/>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403,070.82</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43,665,970.44</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1.1478</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1.1478</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Z42004</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13,640,082.52</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1.1434</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1.1434</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bl>
    <w:p w:rsidR="007E163C" w:rsidRDefault="007E163C">
      <w:pPr>
        <w:spacing w:before="240"/>
        <w:jc w:val="right"/>
        <w:rPr>
          <w:rFonts w:ascii="方正仿宋简体" w:eastAsia="方正仿宋简体" w:cs="宋体"/>
          <w:kern w:val="0"/>
          <w:sz w:val="24"/>
          <w:szCs w:val="24"/>
        </w:rPr>
      </w:pP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 产品业绩比较基准</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7E163C">
        <w:tc>
          <w:tcPr>
            <w:tcW w:w="3856"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7E163C" w:rsidRDefault="008D3CD9" w:rsidP="00723532">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2025年12月23日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2025年12月23日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2025年12月23日 - 2025年12月31日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Z42004</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r>
    </w:tbl>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3.3 报告期内产品的业绩表现</w:t>
      </w:r>
    </w:p>
    <w:p w:rsidR="007E163C" w:rsidRDefault="008D3CD9">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截至报告期末,本产品Z40004份额净值为1.1475元，Z41004份额净值为1.1478元，Z42004份额净值为1.1434元。</w:t>
      </w: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E163C" w:rsidRDefault="007E163C">
      <w:pPr>
        <w:spacing w:before="240"/>
        <w:rPr>
          <w:rFonts w:ascii="方正仿宋简体" w:eastAsia="方正仿宋简体" w:hAnsi="Calibri"/>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E163C" w:rsidRDefault="008D3CD9">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4.3 托管人对本报告期内报告中财务信息等内容的真实、准确和完整发表意见</w:t>
      </w:r>
    </w:p>
    <w:p w:rsidR="007E163C" w:rsidRDefault="008D3CD9">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E163C" w:rsidRDefault="008D3CD9">
      <w:pPr>
        <w:spacing w:before="240"/>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E163C" w:rsidRDefault="007E163C">
      <w:pPr>
        <w:spacing w:before="240"/>
        <w:rPr>
          <w:rFonts w:ascii="方正仿宋简体" w:eastAsia="方正仿宋简体" w:hAnsi="宋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99.48</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0.52</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E163C">
        <w:tc>
          <w:tcPr>
            <w:tcW w:w="738" w:type="dxa"/>
            <w:vAlign w:val="bottom"/>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7E163C" w:rsidRDefault="008D3CD9">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E163C" w:rsidRDefault="007E163C">
      <w:pPr>
        <w:spacing w:before="240"/>
        <w:rPr>
          <w:rFonts w:ascii="方正仿宋简体" w:eastAsia="方正仿宋简体" w:cs="宋体"/>
          <w:kern w:val="0"/>
          <w:sz w:val="24"/>
          <w:szCs w:val="24"/>
        </w:rPr>
      </w:pPr>
    </w:p>
    <w:p w:rsidR="007E163C" w:rsidRDefault="008D3CD9">
      <w:pPr>
        <w:spacing w:before="240"/>
        <w:rPr>
          <w:rFonts w:ascii="方正仿宋简体" w:eastAsia="方正仿宋简体"/>
          <w:b/>
          <w:sz w:val="24"/>
          <w:szCs w:val="24"/>
        </w:rPr>
      </w:pPr>
      <w:r>
        <w:rPr>
          <w:rFonts w:ascii="方正仿宋简体" w:eastAsia="方正仿宋简体" w:hint="eastAsia"/>
          <w:b/>
          <w:sz w:val="24"/>
          <w:szCs w:val="24"/>
        </w:rPr>
        <w:t>5.2 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7E163C">
        <w:trPr>
          <w:trHeight w:val="870"/>
        </w:trPr>
        <w:tc>
          <w:tcPr>
            <w:tcW w:w="582"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65"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251,905,272.43</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250,290,945.09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141,182,888.36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DQCKX202506160001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北京银行定期存款20250616</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DQCKX202509220021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上海银行定期存款20250922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112514084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25江苏银行CD084</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98,725,300.00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112503008</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25农业银行CD008</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98,361,800.00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XJCKX202404150001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农业银行深圳分行活期存款</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98,163,061.78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112503084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25农业银行CD084</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98,099,000.00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112598681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25宁波通商银行CD080</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79,000,080.00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4.14</w:t>
            </w:r>
          </w:p>
        </w:tc>
      </w:tr>
    </w:tbl>
    <w:p w:rsidR="007E163C" w:rsidRDefault="007E163C">
      <w:pPr>
        <w:spacing w:before="240"/>
        <w:rPr>
          <w:rFonts w:ascii="方正仿宋简体" w:eastAsia="方正仿宋简体" w:hAnsi="宋体" w:cs="宋体"/>
          <w:sz w:val="24"/>
          <w:szCs w:val="24"/>
          <w:shd w:val="clear" w:color="auto" w:fill="FFFFFF"/>
        </w:rPr>
      </w:pPr>
    </w:p>
    <w:p w:rsidR="007E163C" w:rsidRDefault="008D3CD9">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7E163C">
        <w:tc>
          <w:tcPr>
            <w:tcW w:w="709"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E163C" w:rsidRDefault="007E163C">
      <w:pPr>
        <w:spacing w:before="240"/>
        <w:rPr>
          <w:rFonts w:ascii="方正仿宋简体" w:eastAsia="方正仿宋简体" w:hAnsi="宋体" w:cs="宋体"/>
          <w:kern w:val="0"/>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7E163C">
        <w:trPr>
          <w:trHeight w:val="705"/>
        </w:trPr>
        <w:tc>
          <w:tcPr>
            <w:tcW w:w="991"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7E163C" w:rsidRDefault="008D3CD9" w:rsidP="00723532">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0120040000000350</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南京银行鑫悦享1912三个月定开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E163C" w:rsidRDefault="007E163C">
      <w:pPr>
        <w:spacing w:before="240"/>
        <w:rPr>
          <w:rFonts w:ascii="方正仿宋简体" w:eastAsia="方正仿宋简体"/>
          <w:sz w:val="24"/>
          <w:szCs w:val="24"/>
        </w:rPr>
      </w:pPr>
    </w:p>
    <w:p w:rsidR="007E163C" w:rsidRDefault="008D3CD9">
      <w:pPr>
        <w:spacing w:before="240"/>
        <w:jc w:val="center"/>
        <w:rPr>
          <w:rFonts w:ascii="方正仿宋简体" w:eastAsia="方正仿宋简体"/>
          <w:b/>
          <w:sz w:val="24"/>
          <w:szCs w:val="24"/>
        </w:rPr>
      </w:pPr>
      <w:r>
        <w:rPr>
          <w:rFonts w:ascii="方正仿宋简体" w:eastAsia="方正仿宋简体" w:hint="eastAsia"/>
          <w:b/>
          <w:sz w:val="24"/>
          <w:szCs w:val="24"/>
        </w:rPr>
        <w:t>§7 关联交易情况</w:t>
      </w:r>
    </w:p>
    <w:p w:rsidR="007E163C" w:rsidRDefault="003A6E4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723532">
        <w:rPr>
          <w:rFonts w:ascii="方正仿宋简体" w:eastAsia="方正仿宋简体" w:hint="eastAsia"/>
          <w:b/>
          <w:sz w:val="24"/>
          <w:szCs w:val="24"/>
        </w:rPr>
        <w:t>.1</w:t>
      </w:r>
      <w:r w:rsidR="008D3CD9">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w:t>
            </w:r>
            <w:r>
              <w:rPr>
                <w:rFonts w:ascii="方正仿宋简体" w:eastAsia="方正仿宋简体" w:hint="eastAsia"/>
                <w:sz w:val="24"/>
                <w:szCs w:val="24"/>
              </w:rPr>
              <w:lastRenderedPageBreak/>
              <w:t>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总金额（单位：</w:t>
            </w:r>
            <w:r>
              <w:rPr>
                <w:rFonts w:ascii="方正仿宋简体" w:eastAsia="方正仿宋简体" w:hint="eastAsia"/>
                <w:sz w:val="24"/>
                <w:szCs w:val="24"/>
              </w:rPr>
              <w:lastRenderedPageBreak/>
              <w:t>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7E163C" w:rsidRDefault="00823928">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405AE9">
        <w:rPr>
          <w:rFonts w:ascii="方正仿宋简体" w:eastAsia="方正仿宋简体" w:hint="eastAsia"/>
          <w:b/>
          <w:sz w:val="24"/>
          <w:szCs w:val="24"/>
        </w:rPr>
        <w:t>.</w:t>
      </w:r>
      <w:r w:rsidR="008D3CD9">
        <w:rPr>
          <w:rFonts w:ascii="方正仿宋简体" w:eastAsia="方正仿宋简体" w:hint="eastAsia"/>
          <w:b/>
          <w:sz w:val="24"/>
          <w:szCs w:val="24"/>
        </w:rPr>
        <w:t>2产品投资于关联方承销的证券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25兴化城投PPN008</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032501233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30001520.55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23通州湾PPN001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032380820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42125205.48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25东泰投资SCP002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012581430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20002958.90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24凤城河SCP003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012483040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30387698.63</w:t>
            </w:r>
          </w:p>
        </w:tc>
      </w:tr>
    </w:tbl>
    <w:p w:rsidR="007E163C" w:rsidRDefault="004A761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C03FE9">
        <w:rPr>
          <w:rFonts w:ascii="方正仿宋简体" w:eastAsia="方正仿宋简体" w:hint="eastAsia"/>
          <w:b/>
          <w:sz w:val="24"/>
          <w:szCs w:val="24"/>
        </w:rPr>
        <w:t>.</w:t>
      </w:r>
      <w:r w:rsidR="008D3CD9">
        <w:rPr>
          <w:rFonts w:ascii="方正仿宋简体" w:eastAsia="方正仿宋简体" w:hint="eastAsia"/>
          <w:b/>
          <w:sz w:val="24"/>
          <w:szCs w:val="24"/>
        </w:rPr>
        <w:t>3产品投资于关联方发行的资产管理产品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7E163C">
        <w:trPr>
          <w:trHeight w:val="534"/>
          <w:jc w:val="center"/>
        </w:trPr>
        <w:tc>
          <w:tcPr>
            <w:tcW w:w="877"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7E163C">
        <w:trPr>
          <w:trHeight w:val="534"/>
          <w:jc w:val="center"/>
        </w:trPr>
        <w:tc>
          <w:tcPr>
            <w:tcW w:w="877" w:type="dxa"/>
            <w:vMerge/>
            <w:vAlign w:val="center"/>
          </w:tcPr>
          <w:p w:rsidR="007E163C" w:rsidRDefault="007E163C" w:rsidP="00723532">
            <w:pPr>
              <w:spacing w:beforeLines="20" w:afterLines="20"/>
              <w:jc w:val="center"/>
            </w:pPr>
          </w:p>
        </w:tc>
        <w:tc>
          <w:tcPr>
            <w:tcW w:w="1704" w:type="dxa"/>
            <w:vMerge/>
            <w:vAlign w:val="center"/>
          </w:tcPr>
          <w:p w:rsidR="007E163C" w:rsidRDefault="007E163C" w:rsidP="00723532">
            <w:pPr>
              <w:spacing w:beforeLines="20" w:afterLines="20"/>
              <w:jc w:val="center"/>
            </w:pPr>
          </w:p>
        </w:tc>
        <w:tc>
          <w:tcPr>
            <w:tcW w:w="1275" w:type="dxa"/>
            <w:vMerge/>
            <w:vAlign w:val="center"/>
          </w:tcPr>
          <w:p w:rsidR="007E163C" w:rsidRDefault="007E163C" w:rsidP="00723532">
            <w:pPr>
              <w:spacing w:beforeLines="20" w:afterLines="20"/>
              <w:jc w:val="center"/>
            </w:pPr>
          </w:p>
        </w:tc>
        <w:tc>
          <w:tcPr>
            <w:tcW w:w="1540" w:type="dxa"/>
            <w:vMerge/>
            <w:vAlign w:val="center"/>
          </w:tcPr>
          <w:p w:rsidR="007E163C" w:rsidRDefault="007E163C" w:rsidP="00723532">
            <w:pPr>
              <w:spacing w:beforeLines="20" w:afterLines="20"/>
              <w:jc w:val="center"/>
            </w:pP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1490926059.18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1499000000.00</w:t>
            </w:r>
          </w:p>
        </w:tc>
      </w:tr>
    </w:tbl>
    <w:p w:rsidR="007E163C" w:rsidRDefault="00985A4B">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EC640C">
        <w:rPr>
          <w:rFonts w:ascii="方正仿宋简体" w:eastAsia="方正仿宋简体" w:hint="eastAsia"/>
          <w:b/>
          <w:sz w:val="24"/>
          <w:szCs w:val="24"/>
        </w:rPr>
        <w:t>.</w:t>
      </w:r>
      <w:r w:rsidR="008D3CD9">
        <w:rPr>
          <w:rFonts w:ascii="方正仿宋简体" w:eastAsia="方正仿宋简体" w:hint="eastAsia"/>
          <w:b/>
          <w:sz w:val="24"/>
          <w:szCs w:val="24"/>
        </w:rPr>
        <w:t>4其他关联交易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7E163C">
        <w:trPr>
          <w:trHeight w:val="1048"/>
          <w:jc w:val="center"/>
        </w:trPr>
        <w:tc>
          <w:tcPr>
            <w:tcW w:w="87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2842" w:type="dxa"/>
            <w:vAlign w:val="center"/>
          </w:tcPr>
          <w:p w:rsidR="007E163C" w:rsidRDefault="008D3CD9" w:rsidP="0072353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324128.66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5091137.55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548901.63</w:t>
            </w:r>
          </w:p>
        </w:tc>
      </w:tr>
    </w:tbl>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7E163C">
      <w:pPr>
        <w:spacing w:before="240"/>
        <w:rPr>
          <w:rFonts w:ascii="方正仿宋简体" w:eastAsia="方正仿宋简体" w:hAnsi="宋体" w:cs="宋体"/>
          <w:kern w:val="0"/>
          <w:sz w:val="24"/>
          <w:szCs w:val="24"/>
        </w:rPr>
      </w:pPr>
    </w:p>
    <w:p w:rsidR="007E163C" w:rsidRDefault="008D3CD9">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E163C" w:rsidRDefault="008D3CD9">
      <w:pPr>
        <w:spacing w:before="240"/>
        <w:jc w:val="right"/>
        <w:rPr>
          <w:rFonts w:ascii="方正仿宋简体" w:eastAsia="方正仿宋简体"/>
          <w:b/>
          <w:sz w:val="24"/>
          <w:szCs w:val="24"/>
        </w:rPr>
      </w:pPr>
      <w:r>
        <w:rPr>
          <w:rFonts w:ascii="方正仿宋简体" w:eastAsia="方正仿宋简体" w:hint="eastAsia"/>
          <w:b/>
          <w:sz w:val="24"/>
          <w:szCs w:val="24"/>
        </w:rPr>
        <w:t>2025年12月31日</w:t>
      </w:r>
    </w:p>
    <w:sectPr w:rsidR="007E163C" w:rsidSect="007E163C">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74C" w:rsidRDefault="00E0174C" w:rsidP="007E163C">
      <w:r>
        <w:separator/>
      </w:r>
    </w:p>
  </w:endnote>
  <w:endnote w:type="continuationSeparator" w:id="1">
    <w:p w:rsidR="00E0174C" w:rsidRDefault="00E0174C" w:rsidP="007E1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A42D4B">
    <w:pPr>
      <w:pStyle w:val="a5"/>
      <w:framePr w:wrap="around" w:vAnchor="text" w:hAnchor="margin" w:xAlign="center" w:y="1"/>
      <w:rPr>
        <w:rStyle w:val="aa"/>
      </w:rPr>
    </w:pPr>
    <w:r>
      <w:fldChar w:fldCharType="begin"/>
    </w:r>
    <w:r w:rsidR="008D3CD9">
      <w:rPr>
        <w:rStyle w:val="aa"/>
      </w:rPr>
      <w:instrText xml:space="preserve">PAGE  </w:instrText>
    </w:r>
    <w:r>
      <w:fldChar w:fldCharType="end"/>
    </w:r>
  </w:p>
  <w:p w:rsidR="007E163C" w:rsidRDefault="007E163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74C" w:rsidRDefault="00E0174C" w:rsidP="007E163C">
      <w:r>
        <w:separator/>
      </w:r>
    </w:p>
  </w:footnote>
  <w:footnote w:type="continuationSeparator" w:id="1">
    <w:p w:rsidR="00E0174C" w:rsidRDefault="00E0174C" w:rsidP="007E1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3C" w:rsidRDefault="007E163C">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92C61"/>
    <w:rsid w:val="003A0419"/>
    <w:rsid w:val="003A6E48"/>
    <w:rsid w:val="003B7361"/>
    <w:rsid w:val="003C4D3B"/>
    <w:rsid w:val="003D4B6E"/>
    <w:rsid w:val="003E09EA"/>
    <w:rsid w:val="003E412C"/>
    <w:rsid w:val="003F0AC3"/>
    <w:rsid w:val="003F38EF"/>
    <w:rsid w:val="00405AE9"/>
    <w:rsid w:val="00456251"/>
    <w:rsid w:val="00492870"/>
    <w:rsid w:val="004A2DC3"/>
    <w:rsid w:val="004A761B"/>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23532"/>
    <w:rsid w:val="00730BEE"/>
    <w:rsid w:val="0073101E"/>
    <w:rsid w:val="00735153"/>
    <w:rsid w:val="00741E97"/>
    <w:rsid w:val="00745421"/>
    <w:rsid w:val="00745F96"/>
    <w:rsid w:val="00774E0A"/>
    <w:rsid w:val="00782F29"/>
    <w:rsid w:val="007A4219"/>
    <w:rsid w:val="007B08DF"/>
    <w:rsid w:val="007E0B6E"/>
    <w:rsid w:val="007E163C"/>
    <w:rsid w:val="007E4637"/>
    <w:rsid w:val="00800690"/>
    <w:rsid w:val="0080200C"/>
    <w:rsid w:val="00814110"/>
    <w:rsid w:val="00823928"/>
    <w:rsid w:val="0082561A"/>
    <w:rsid w:val="00846B2E"/>
    <w:rsid w:val="0085663C"/>
    <w:rsid w:val="00870717"/>
    <w:rsid w:val="008768AB"/>
    <w:rsid w:val="008870FD"/>
    <w:rsid w:val="008904CC"/>
    <w:rsid w:val="008926F7"/>
    <w:rsid w:val="008A7510"/>
    <w:rsid w:val="008C78BD"/>
    <w:rsid w:val="008D3CD9"/>
    <w:rsid w:val="008D57C5"/>
    <w:rsid w:val="008F099C"/>
    <w:rsid w:val="008F0FA3"/>
    <w:rsid w:val="00900D90"/>
    <w:rsid w:val="00902630"/>
    <w:rsid w:val="00931BD2"/>
    <w:rsid w:val="009354D6"/>
    <w:rsid w:val="00956754"/>
    <w:rsid w:val="009679B0"/>
    <w:rsid w:val="00970A98"/>
    <w:rsid w:val="00977E89"/>
    <w:rsid w:val="00985A4B"/>
    <w:rsid w:val="00994F2E"/>
    <w:rsid w:val="009A4E79"/>
    <w:rsid w:val="009B1695"/>
    <w:rsid w:val="009B2EEF"/>
    <w:rsid w:val="009C4574"/>
    <w:rsid w:val="009C6A99"/>
    <w:rsid w:val="009C781F"/>
    <w:rsid w:val="009D5296"/>
    <w:rsid w:val="009E6170"/>
    <w:rsid w:val="009F1FD4"/>
    <w:rsid w:val="009F4338"/>
    <w:rsid w:val="009F6D0D"/>
    <w:rsid w:val="00A204A0"/>
    <w:rsid w:val="00A42D4B"/>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03FE9"/>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0174C"/>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C640C"/>
    <w:rsid w:val="00EE0436"/>
    <w:rsid w:val="00EF0A98"/>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5105304"/>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1C55614"/>
    <w:rsid w:val="52830253"/>
    <w:rsid w:val="541C469D"/>
    <w:rsid w:val="5BE61B5E"/>
    <w:rsid w:val="5F8D2B89"/>
    <w:rsid w:val="602D020F"/>
    <w:rsid w:val="64C67B5C"/>
    <w:rsid w:val="66B51B39"/>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6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E163C"/>
    <w:pPr>
      <w:jc w:val="left"/>
    </w:pPr>
  </w:style>
  <w:style w:type="paragraph" w:styleId="a4">
    <w:name w:val="Balloon Text"/>
    <w:basedOn w:val="a"/>
    <w:link w:val="Char0"/>
    <w:uiPriority w:val="99"/>
    <w:unhideWhenUsed/>
    <w:qFormat/>
    <w:rsid w:val="007E163C"/>
    <w:rPr>
      <w:sz w:val="18"/>
      <w:szCs w:val="18"/>
    </w:rPr>
  </w:style>
  <w:style w:type="paragraph" w:styleId="a5">
    <w:name w:val="footer"/>
    <w:basedOn w:val="a"/>
    <w:link w:val="Char1"/>
    <w:uiPriority w:val="99"/>
    <w:unhideWhenUsed/>
    <w:qFormat/>
    <w:rsid w:val="007E163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E163C"/>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E163C"/>
    <w:pPr>
      <w:snapToGrid w:val="0"/>
      <w:jc w:val="left"/>
    </w:pPr>
    <w:rPr>
      <w:sz w:val="18"/>
    </w:rPr>
  </w:style>
  <w:style w:type="paragraph" w:styleId="a8">
    <w:name w:val="Normal (Web)"/>
    <w:basedOn w:val="a"/>
    <w:qFormat/>
    <w:rsid w:val="007E163C"/>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E163C"/>
    <w:rPr>
      <w:b/>
      <w:bCs/>
    </w:rPr>
  </w:style>
  <w:style w:type="character" w:styleId="aa">
    <w:name w:val="page number"/>
    <w:basedOn w:val="a0"/>
    <w:uiPriority w:val="99"/>
    <w:unhideWhenUsed/>
    <w:qFormat/>
    <w:rsid w:val="007E163C"/>
  </w:style>
  <w:style w:type="character" w:styleId="ab">
    <w:name w:val="annotation reference"/>
    <w:uiPriority w:val="99"/>
    <w:unhideWhenUsed/>
    <w:qFormat/>
    <w:rsid w:val="007E163C"/>
    <w:rPr>
      <w:sz w:val="21"/>
      <w:szCs w:val="21"/>
    </w:rPr>
  </w:style>
  <w:style w:type="character" w:styleId="ac">
    <w:name w:val="footnote reference"/>
    <w:uiPriority w:val="99"/>
    <w:unhideWhenUsed/>
    <w:qFormat/>
    <w:rsid w:val="007E163C"/>
    <w:rPr>
      <w:vertAlign w:val="superscript"/>
    </w:rPr>
  </w:style>
  <w:style w:type="character" w:customStyle="1" w:styleId="Char0">
    <w:name w:val="批注框文本 Char"/>
    <w:link w:val="a4"/>
    <w:uiPriority w:val="99"/>
    <w:semiHidden/>
    <w:qFormat/>
    <w:rsid w:val="007E163C"/>
    <w:rPr>
      <w:kern w:val="2"/>
      <w:sz w:val="18"/>
      <w:szCs w:val="18"/>
    </w:rPr>
  </w:style>
  <w:style w:type="character" w:customStyle="1" w:styleId="Char2">
    <w:name w:val="页眉 Char"/>
    <w:link w:val="a6"/>
    <w:uiPriority w:val="99"/>
    <w:semiHidden/>
    <w:qFormat/>
    <w:locked/>
    <w:rsid w:val="007E163C"/>
    <w:rPr>
      <w:rFonts w:ascii="Times New Roman" w:hAnsi="Times New Roman" w:cs="Times New Roman" w:hint="default"/>
      <w:sz w:val="18"/>
      <w:szCs w:val="18"/>
    </w:rPr>
  </w:style>
  <w:style w:type="character" w:customStyle="1" w:styleId="Char3">
    <w:name w:val="批注主题 Char"/>
    <w:link w:val="a9"/>
    <w:uiPriority w:val="99"/>
    <w:semiHidden/>
    <w:qFormat/>
    <w:rsid w:val="007E163C"/>
    <w:rPr>
      <w:b/>
      <w:bCs/>
      <w:kern w:val="2"/>
      <w:sz w:val="21"/>
      <w:szCs w:val="22"/>
    </w:rPr>
  </w:style>
  <w:style w:type="character" w:customStyle="1" w:styleId="Char1">
    <w:name w:val="页脚 Char"/>
    <w:link w:val="a5"/>
    <w:uiPriority w:val="99"/>
    <w:semiHidden/>
    <w:qFormat/>
    <w:locked/>
    <w:rsid w:val="007E163C"/>
    <w:rPr>
      <w:rFonts w:ascii="Times New Roman" w:hAnsi="Times New Roman" w:cs="Times New Roman" w:hint="default"/>
      <w:sz w:val="18"/>
      <w:szCs w:val="18"/>
    </w:rPr>
  </w:style>
  <w:style w:type="character" w:customStyle="1" w:styleId="Char">
    <w:name w:val="批注文字 Char"/>
    <w:link w:val="a3"/>
    <w:uiPriority w:val="99"/>
    <w:qFormat/>
    <w:rsid w:val="007E163C"/>
    <w:rPr>
      <w:kern w:val="2"/>
      <w:sz w:val="21"/>
      <w:szCs w:val="22"/>
    </w:rPr>
  </w:style>
  <w:style w:type="paragraph" w:customStyle="1" w:styleId="zhongyaotishi">
    <w:name w:val="zhongyaotishi"/>
    <w:basedOn w:val="a"/>
    <w:qFormat/>
    <w:rsid w:val="007E163C"/>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E163C"/>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E163C"/>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E163C"/>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E163C"/>
    <w:pPr>
      <w:widowControl w:val="0"/>
      <w:jc w:val="center"/>
    </w:pPr>
    <w:rPr>
      <w:kern w:val="2"/>
      <w:sz w:val="33"/>
      <w:szCs w:val="22"/>
    </w:rPr>
  </w:style>
  <w:style w:type="paragraph" w:customStyle="1" w:styleId="biaogeleft">
    <w:name w:val="biaoge_left"/>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E163C"/>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E163C"/>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E163C"/>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E163C"/>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E163C"/>
    <w:pPr>
      <w:widowControl w:val="0"/>
    </w:pPr>
    <w:rPr>
      <w:kern w:val="2"/>
      <w:sz w:val="21"/>
      <w:szCs w:val="22"/>
    </w:rPr>
  </w:style>
  <w:style w:type="paragraph" w:customStyle="1" w:styleId="neirong">
    <w:name w:val="neirong"/>
    <w:basedOn w:val="a"/>
    <w:qFormat/>
    <w:rsid w:val="007E163C"/>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E163C"/>
    <w:pPr>
      <w:jc w:val="both"/>
    </w:pPr>
    <w:rPr>
      <w:kern w:val="2"/>
      <w:sz w:val="21"/>
      <w:szCs w:val="21"/>
    </w:rPr>
  </w:style>
  <w:style w:type="paragraph" w:customStyle="1" w:styleId="Default">
    <w:name w:val="Default"/>
    <w:qFormat/>
    <w:rsid w:val="007E163C"/>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454</Words>
  <Characters>2591</Characters>
  <Application>Microsoft Office Word</Application>
  <DocSecurity>0</DocSecurity>
  <Lines>21</Lines>
  <Paragraphs>6</Paragraphs>
  <ScaleCrop>false</ScaleCrop>
  <Company>微软中国</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yytx</cp:lastModifiedBy>
  <cp:lastPrinted>2019-09-11T00:56:00Z</cp:lastPrinted>
  <dcterms:modified xsi:type="dcterms:W3CDTF">2026-03-27T09:11:00Z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E985CFFC20A84641A474BCD722FC7BF1</vt:lpwstr>
  </property>
</Properties>
</file>