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南银理财珠联璧合鑫逸稳一年238期（公益主题）封闭式公募人民币理财产品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南银理财珠联璧合鑫逸稳一年238期（公益主题）封闭式公募人民币理财产品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Z7003225000309</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2025年09月10日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1,331,526,358.00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100.06%</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五矿国际信托有限公司,交银国际信托有限公司,紫金信托有限责任公司,鑫元基金管理有限公司,中国对外经济贸易信托有限公司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2025年09月10日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Y30238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606,956,674.88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Y31238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332,685,087.22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Y32238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303,913,930.83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Y35238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71,879,620.09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Y36238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7,143,969.22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YB30238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17,965,736.31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ascii="方正仿宋简体" w:eastAsia="方正仿宋简体" w:hint="eastAsia"/>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Y30238份额净值为1.0065元，Y31238份额净值为1.0068元，Y32238份额净值为1.0071元，Y35238份额净值为1.0065元，Y36238份额净值为1.0067元，YB30238份额净值为1.0071</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91.42</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8.58</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633,340,156.84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47.24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316,103,384.99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23.58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262,295,181.69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19.57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XTDKX202509240003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外贸信托臻璟系列集合资金信托计划50期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100,692,553.00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7.51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XTDKX202512080003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交银国信·丰产惠利5002号集合资金信托计划（第3期）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26,850,013.62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外贸信托臻璟系列集合资金信托计划50期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交银国信·丰产惠利5002号集合资金信托计划（第3期）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0101020000001724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南银理财珠联璧合鑫逸稳一年238期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575480502.24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208900272.13</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261000000.00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30542.10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18627.99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1950.25</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