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南银理财珠联璧合鑫逸稳一年234期封闭式公募人民币理财产品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南银理财珠联璧合鑫逸稳一年234期封闭式公募人民币理财产品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Z7003225000268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2025年08月13日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1,220,122,976.00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100.07%</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华鑫国际信托有限公司,天津信托有限责任公司,紫金信托有限责任公司,鑫元基金管理有限公司,江苏省国际信托有限责任公司,中国对外经济贸易信托有限公司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2025年08月13日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Y30234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658,481,499.16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Y31234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263,215,387.18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Y32234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132,863,030.45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Y35234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123,547,573.69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Y36234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6,979,817.95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YB30234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43,361,466.57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Y30234份额净值为1.0066元，Y31234份额净值为1.0069元，Y32234份额净值为1.0073元，Y35234份额净值为1.0066元，Y36234份额净值为1.0077元，YB30234份额净值为1.0074</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93.85</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6.15</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280,284,934.26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242,527,835.47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XTDKX202509010002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华鑫信托·嘉盈和颜68号集合资金信托计划（第16期）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201,882,222.00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16.43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XTDKX202509020001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外贸信托臻璟系列集合资金信托计划47期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201,669,314.00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16.42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XTDKX202509100003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外贸信托-睿衡2号集合资金信托计划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100,779,058.00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100,730,044.12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XTDKX202510270001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天津信托-向实31号集合资金信托计划（第7期）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100,524,085.00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8.18</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外贸信托-睿衡2号集合资金信托计划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外贸信托臻璟系列集合资金信托计划47期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天津信托-向实31号集合资金信托计划（第7期）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华鑫信托·嘉盈和颜68号集合资金信托计划（第16期）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0101050000001671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南银理财珠联璧合鑫逸稳一年234期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680432318.71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80224628.96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18624.45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57010.69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2824.50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