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南银理财鼎瑞悦稳（最低持有14天）公募人民币理财产品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Z7003223000182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5,196,765,689.05</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104.52%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华商基金管理有限公司,华泰资产管理有限公司,华鑫证券有限责任公司,国投泰康信托有限公司,广发基金管理有限公司,紫金信托有限责任公司,陆家嘴国际信托有限公司,太平洋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2,703,609,312.27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1.058770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1.058770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56,921.51</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12,688,543.15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1.063186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1.063186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2,783,074,170.79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1.057998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1.057998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829,350.61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1.054142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1.054142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ascii="方正仿宋简体" w:eastAsia="方正仿宋简体" w:hint="eastAsia"/>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A32014份额净值为1.058770元，A32015份额净值为1.063186元，A32016份额净值为1.057998元，A32028份额净值为1.054142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98.39</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96.45</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1.61</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3.55</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1,168,468,622.83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DQCKX202506200003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农业银行定期存款20250620B</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ZJQTT202510310001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华商基金聚睿优选集合资产管理计划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305,370,176.29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283,288,644.49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210,677,213.83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北京银行定期存款202506013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XJCKX202504280001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165,039,470.83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032480303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24崇德投资PPN001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151,698,150.00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DQCKX202508180022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广发银行定期存款20250818A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DQCKX202504030006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中国银行定期存款20250403C</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0101080000000712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南京银行南京分行南银理财鼎瑞悦稳最低持有14天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25园博园MTN001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102580198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50003178.08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25镇江城投MTN001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102580097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40007561.64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24崇德投资PPN001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032480303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153965958.90</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3299709704.50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3331500000.00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1379248.66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7598528.78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49663.74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1279960.90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