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南银理财珠联璧合悦稳（最低持有91天）公募人民币理财产品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南银理财珠联璧合悦稳（最低持有91天）公募人民币理财产品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Z7003222000021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2022年03月30日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13,464,273,350.73</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兴业国际信托有限公司,华泰资产管理有限公司,华鑫证券有限责任公司,国投泰康信托有限公司,紫金信托有限责任公司,鑫元基金管理有限公司,陆家嘴国际信托有限公司,中国人寿资产管理有限公司,景顺长城基金管理有限公司,财通证券资产管理有限公司,太平洋资产管理有限责任公司,江苏省国际信托有限责任公司,上海光大证券资产管理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10,659,037,197.36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1.1028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395,566.38</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1,114,007,899.25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54,386,395.01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1.0984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1.0984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2,784,021,918.21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212,594,233.60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1.1031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1.1031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29,167,622.91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1.1025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1.1025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A32001份额净值为1.1028元，A32002份额净值为1.1069元，A32003份额净值为1.0984元，A32004份额净值为1.1030元，A32115份额净值为1.1031元，A32130份额净值为1.1025</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99.80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97.76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0.20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2.24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3,267,619,008.22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1,642,896,165.03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996,494,817.21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XJCKX202404150001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934,945,683.21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884,588,459.51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719,381,169.53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601,715,113.53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XJCKX202504280001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573,561,795.63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ZJQTT202509250001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522,805,629.21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398,509,600.30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0120080000000782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南银理财悦稳最低持有91天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23淮安文旅PPN001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032381112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41938301.37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23易盛德PPN001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032380806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41431309.59</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鑫元璟丰债券A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017180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94054740.41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99999000.00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4194402173.34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4245300000.00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683594627.37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378105.25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7439213.44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197230.52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1846939.03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