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苏银理财恒源鑫泰固收增强最短持有270天</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2025年年度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苏银理财恒源鑫泰固收增强最短持有270天</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2023年09月15日</w:t>
      </w:r>
      <w:r>
        <w:rPr>
          <w:rFonts w:ascii="楷体" w:eastAsia="楷体" w:hAnsi="楷体" w:cs="楷体" w:hint="eastAsia"/>
        </w:rPr>
        <w:t xml:space="preserve">成立，于</w:t>
      </w:r>
      <w:r>
        <w:rPr>
          <w:rFonts w:ascii="楷体" w:eastAsia="楷体" w:hAnsi="楷体" w:cs="楷体" w:hint="eastAsia"/>
          <w:spacing w:val="-7"/>
        </w:rPr>
        <w:t xml:space="preserve">2023年09月15日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产品名称</w:t>
            </w:r>
          </w:p>
        </w:tc>
        <w:tc>
          <w:tcPr>
            <w:tcW w:w="3847" w:type="dxa"/>
          </w:tcPr>
          <w:p>
            <w:pPr>
              <w:pStyle w:val="TableText"/>
              <w:spacing w:before="56" w:line="202" w:lineRule="auto"/>
              <w:jc w:val="center"/>
              <w:rPr>
                <w:rFonts w:ascii="楷体" w:eastAsia="楷体" w:hAnsi="楷体" w:cs="楷体" w:hint="eastAsia"/>
                <w:sz w:val="22"/>
                <w:szCs w:val="22"/>
                <w:highlight w:val="yellow"/>
              </w:rPr>
            </w:pPr>
            <w:r>
              <w:rPr>
                <w:rFonts w:ascii="楷体" w:eastAsia="楷体" w:hAnsi="楷体" w:cs="楷体" w:hint="eastAsia"/>
                <w:spacing w:val="-6"/>
                <w:sz w:val="22"/>
                <w:szCs w:val="22"/>
              </w:rPr>
              <w:t xml:space="preserve">苏银理财恒源鑫泰固收增强最短持有270天</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Z7003123000137</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产品运作方式</w:t>
            </w:r>
          </w:p>
        </w:tc>
        <w:tc>
          <w:tcPr>
            <w:tcW w:w="3847" w:type="dxa"/>
          </w:tcPr>
          <w:p>
            <w:pPr>
              <w:pStyle w:val="TableText"/>
              <w:spacing w:before="52" w:line="201" w:lineRule="auto"/>
              <w:jc w:val="center"/>
              <w:rPr>
                <w:rFonts w:ascii="楷体" w:eastAsia="楷体" w:hAnsi="楷体" w:cs="楷体" w:hint="eastAsia"/>
                <w:sz w:val="22"/>
                <w:szCs w:val="22"/>
                <w:highlight w:val="yellow"/>
              </w:rPr>
            </w:pPr>
            <w:r>
              <w:rPr>
                <w:rFonts w:ascii="楷体" w:eastAsia="楷体" w:hAnsi="楷体" w:cs="楷体" w:hint="eastAsia"/>
                <w:spacing w:val="-2"/>
                <w:sz w:val="22"/>
                <w:szCs w:val="22"/>
              </w:rPr>
              <w:t xml:space="preserve">开放式净值型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4,880,062,705.79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产品资产净值（元）</w:t>
            </w:r>
          </w:p>
        </w:tc>
        <w:tc>
          <w:tcPr>
            <w:tcW w:w="3847" w:type="dxa"/>
          </w:tcPr>
          <w:p>
            <w:pPr>
              <w:pStyle w:val="TableText"/>
              <w:spacing w:before="78" w:line="182"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5,262,416,877.55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风险收益特征</w:t>
            </w:r>
          </w:p>
        </w:tc>
        <w:tc>
          <w:tcPr>
            <w:tcW w:w="3847" w:type="dxa"/>
          </w:tcPr>
          <w:p>
            <w:pPr>
              <w:pStyle w:val="TableText"/>
              <w:spacing w:before="54" w:line="200" w:lineRule="auto"/>
              <w:jc w:val="center"/>
              <w:rPr>
                <w:rFonts w:ascii="楷体" w:eastAsia="楷体" w:hAnsi="楷体" w:cs="楷体" w:hint="eastAsia"/>
                <w:sz w:val="22"/>
                <w:szCs w:val="22"/>
                <w:highlight w:val="yellow"/>
              </w:rPr>
            </w:pPr>
            <w:r>
              <w:rPr>
                <w:rFonts w:ascii="楷体" w:eastAsia="楷体" w:hAnsi="楷体" w:cs="楷体" w:hint="eastAsia"/>
                <w:spacing w:val="-8"/>
                <w:sz w:val="22"/>
                <w:szCs w:val="22"/>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收益类型</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9"/>
                <w:sz w:val="22"/>
                <w:szCs w:val="22"/>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管理人</w:t>
            </w:r>
          </w:p>
        </w:tc>
        <w:tc>
          <w:tcPr>
            <w:tcW w:w="3847" w:type="dxa"/>
          </w:tcPr>
          <w:p>
            <w:pPr>
              <w:pStyle w:val="TableText"/>
              <w:spacing w:before="55" w:line="200"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托管人</w:t>
            </w:r>
          </w:p>
        </w:tc>
        <w:tc>
          <w:tcPr>
            <w:tcW w:w="3847" w:type="dxa"/>
          </w:tcPr>
          <w:p>
            <w:pPr>
              <w:pStyle w:val="TableText"/>
              <w:spacing w:before="56" w:line="199" w:lineRule="auto"/>
              <w:jc w:val="center"/>
              <w:rPr>
                <w:rFonts w:ascii="楷体" w:eastAsia="楷体" w:hAnsi="楷体" w:cs="楷体" w:hint="eastAsia"/>
                <w:sz w:val="22"/>
                <w:szCs w:val="22"/>
                <w:highlight w:val="yellow"/>
              </w:rPr>
            </w:pPr>
            <w:r>
              <w:rPr>
                <w:rFonts w:ascii="楷体" w:eastAsia="楷体" w:hAnsi="楷体" w:cs="楷体" w:hint="eastAsia"/>
                <w:spacing w:val="-3"/>
                <w:sz w:val="22"/>
                <w:szCs w:val="22"/>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w:t>
            </w:r>
          </w:p>
        </w:tc>
        <w:tc>
          <w:tcPr>
            <w:tcW w:w="3847" w:type="dxa"/>
          </w:tcPr>
          <w:p>
            <w:pPr>
              <w:pStyle w:val="TableText"/>
              <w:spacing w:before="90" w:line="173" w:lineRule="auto"/>
              <w:jc w:val="center"/>
              <w:rPr>
                <w:rFonts w:ascii="楷体" w:eastAsia="楷体" w:hAnsi="楷体" w:cs="楷体" w:hint="eastAsia"/>
                <w:sz w:val="22"/>
                <w:szCs w:val="22"/>
                <w:highlight w:val="yellow"/>
              </w:rPr>
            </w:pPr>
            <w:r>
              <w:rPr>
                <w:rFonts w:ascii="楷体" w:eastAsia="楷体" w:hAnsi="楷体" w:cs="楷体" w:hint="eastAsia"/>
                <w:spacing w:val="-1"/>
                <w:sz w:val="22"/>
                <w:szCs w:val="22"/>
              </w:rPr>
              <w:t xml:space="preserve">31000188000551629</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托管账户开户行</w:t>
            </w:r>
          </w:p>
        </w:tc>
        <w:tc>
          <w:tcPr>
            <w:tcW w:w="3847" w:type="dxa"/>
          </w:tcPr>
          <w:p>
            <w:pPr>
              <w:pStyle w:val="TableText"/>
              <w:spacing w:before="56" w:line="199" w:lineRule="auto"/>
              <w:jc w:val="center"/>
              <w:rPr>
                <w:rFonts w:ascii="楷体" w:eastAsia="楷体" w:hAnsi="楷体" w:cs="楷体" w:hint="eastAsia"/>
                <w:sz w:val="22"/>
                <w:szCs w:val="22"/>
              </w:rPr>
            </w:pPr>
            <w:r>
              <w:rPr>
                <w:rFonts w:ascii="楷体" w:eastAsia="楷体" w:hAnsi="楷体" w:cs="楷体" w:hint="eastAsia"/>
                <w:spacing w:val="-2"/>
                <w:sz w:val="22"/>
                <w:szCs w:val="22"/>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产品资产总值（元）</w:t>
            </w:r>
          </w:p>
        </w:tc>
        <w:tc>
          <w:tcPr>
            <w:tcW w:w="3847" w:type="dxa"/>
          </w:tcPr>
          <w:p>
            <w:pPr>
              <w:pStyle w:val="TableText"/>
              <w:spacing w:before="81" w:line="180" w:lineRule="auto"/>
              <w:jc w:val="center"/>
              <w:rPr>
                <w:rFonts w:ascii="楷体" w:eastAsia="楷体" w:hAnsi="楷体" w:cs="楷体" w:hint="eastAsia"/>
                <w:sz w:val="22"/>
                <w:szCs w:val="22"/>
              </w:rPr>
            </w:pPr>
            <w:r>
              <w:rPr>
                <w:rFonts w:ascii="楷体" w:eastAsia="楷体" w:hAnsi="楷体" w:cs="楷体" w:hint="eastAsia"/>
                <w:spacing w:val="-1"/>
                <w:sz w:val="22"/>
                <w:szCs w:val="22"/>
              </w:rPr>
              <w:t xml:space="preserve">5,272,494,480.76</w:t>
            </w:r>
            <w:r>
              <w:rPr>
                <w:rFonts w:ascii="楷体" w:eastAsia="楷体" w:hAnsi="楷体" w:cs="楷体" w:hint="eastAsia"/>
                <w:spacing w:val="-29"/>
                <w:sz w:val="22"/>
                <w:szCs w:val="22"/>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杠杆水平</w:t>
            </w:r>
          </w:p>
        </w:tc>
        <w:tc>
          <w:tcPr>
            <w:tcW w:w="3847" w:type="dxa"/>
          </w:tcPr>
          <w:p>
            <w:pPr>
              <w:pStyle w:val="TableText"/>
              <w:spacing w:before="56" w:line="202" w:lineRule="auto"/>
              <w:jc w:val="center"/>
              <w:rPr>
                <w:rFonts w:ascii="楷体" w:eastAsia="楷体" w:hAnsi="楷体" w:cs="楷体" w:hint="eastAsia"/>
                <w:sz w:val="22"/>
                <w:szCs w:val="22"/>
              </w:rPr>
            </w:pPr>
            <w:r>
              <w:rPr>
                <w:rFonts w:ascii="楷体" w:eastAsia="楷体" w:hAnsi="楷体" w:cs="楷体" w:hint="eastAsia"/>
                <w:spacing w:val="-4"/>
                <w:sz w:val="22"/>
                <w:szCs w:val="22"/>
              </w:rPr>
              <w:t xml:space="preserve">100.19%</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报告日期</w:t>
            </w:r>
          </w:p>
        </w:tc>
        <w:tc>
          <w:tcPr>
            <w:tcW w:w="2100" w:type="dxa"/>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销售</w:t>
            </w:r>
            <w:r>
              <w:rPr>
                <w:rFonts w:ascii="楷体" w:eastAsia="楷体" w:hAnsi="楷体" w:cs="楷体" w:hint="eastAsia"/>
                <w:sz w:val="22"/>
                <w:szCs w:val="22"/>
                <w:lang w:eastAsia="zh-CN"/>
              </w:rPr>
              <w:t xml:space="preserve">名</w:t>
            </w:r>
            <w:r>
              <w:rPr>
                <w:rFonts w:ascii="楷体" w:eastAsia="楷体" w:hAnsi="楷体" w:cs="楷体" w:hint="eastAsia"/>
                <w:sz w:val="22"/>
                <w:szCs w:val="22"/>
              </w:rPr>
              <w:t xml:space="preserve">称</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单位净值</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累计单位净值</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2025-12-31</w:t>
            </w:r>
          </w:p>
        </w:tc>
        <w:tc>
          <w:tcPr>
            <w:tcW w:w="21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苏银理财恒源鑫泰（固收增强）最短持有270天A</w:t>
            </w:r>
          </w:p>
        </w:tc>
        <w:tc>
          <w:tcPr>
            <w:tcW w:w="147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1.078350</w:t>
            </w:r>
          </w:p>
        </w:tc>
        <w:tc>
          <w:tcPr>
            <w:tcW w:w="166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1.078350</w:t>
            </w:r>
          </w:p>
        </w:tc>
        <w:tc>
          <w:tcPr>
            <w:tcW w:w="1876"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中债-新综合全价(1年以下)指数收益率*95%+中证转债指数收益率*3%+中证800指数收益率*2%</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278"/>
        <w:gridCol w:w="2643"/>
        <w:gridCol w:w="2652"/>
      </w:tblGrid>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278"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643" w:type="dxa"/>
            <w:vAlign w:val="center"/>
          </w:tcPr>
          <w:p>
            <w:pPr>
              <w:spacing w:line="320" w:lineRule="exact"/>
              <w:rPr>
                <w:rFonts w:ascii="楷体" w:eastAsia="楷体" w:hAnsi="楷体" w:cs="楷体" w:hint="eastAsia"/>
                <w:sz w:val="22"/>
                <w:szCs w:val="22"/>
              </w:rPr>
            </w:pPr>
            <w:r>
              <w:rPr>
                <w:rFonts w:ascii="楷体" w:eastAsia="楷体" w:hAnsi="楷体" w:cs="楷体" w:hint="eastAsia"/>
                <w:sz w:val="22"/>
                <w:szCs w:val="22"/>
              </w:rPr>
              <w:t xml:space="preserve">直接投资占总资产的比例</w:t>
            </w:r>
          </w:p>
        </w:tc>
        <w:tc>
          <w:tcPr>
            <w:tcW w:w="2652"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间接投资占总资产的比例</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278"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固定收益类</w:t>
            </w:r>
          </w:p>
        </w:tc>
        <w:tc>
          <w:tcPr>
            <w:tcW w:w="2643"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24.42%</w:t>
            </w:r>
          </w:p>
        </w:tc>
        <w:tc>
          <w:tcPr>
            <w:tcW w:w="2652" w:type="dxa"/>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69.07%</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权益类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0.65%</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0.68%</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商品及金融衍生品类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0.88%</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278"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混合类</w:t>
            </w:r>
          </w:p>
        </w:tc>
        <w:tc>
          <w:tcPr>
            <w:tcW w:w="2643"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2652" w:type="dxa"/>
            <w:vAlign w:val="center"/>
          </w:tcPr>
          <w:p>
            <w:pPr>
              <w:pageBreakBefore w:val="0"/>
              <w:jc w:val="center"/>
              <w:textAlignment w:val="auto"/>
            </w:pPr>
            <w:r>
              <w:rPr>
                <w:rFonts w:ascii="楷体" w:eastAsia="楷体" w:hAnsi="楷体" w:cs="楷体"/>
                <w:b w:val="0"/>
                <w:i w:val="0"/>
                <w:strike w:val="0"/>
                <w:color w:val="auto"/>
                <w:position w:val="-1"/>
                <w:sz w:val="22"/>
                <w:u w:val="none"/>
              </w:rPr>
              <w:t xml:space="preserve">4.30%</w:t>
            </w:r>
          </w:p>
        </w:tc>
      </w:tr>
      <w:tr>
        <w:tblPrEx>
          <w:tblW w:w="830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005" w:type="dxa"/>
            <w:gridSpan w:val="2"/>
            <w:shd w:val="clear" w:color="auto" w:fill="auto"/>
            <w:vAlign w:val="center"/>
          </w:tcPr>
          <w:p>
            <w:pPr>
              <w:tabs>
                <w:tab w:val="center" w:pos="1522"/>
                <w:tab w:val="right" w:pos="2924"/>
              </w:tabs>
              <w:jc w:val="left"/>
              <w:rPr>
                <w:rFonts w:ascii="楷体" w:eastAsia="楷体" w:hAnsi="楷体" w:cs="楷体" w:hint="eastAsia"/>
                <w:sz w:val="22"/>
                <w:szCs w:val="22"/>
                <w:lang w:eastAsia="zh-CN"/>
              </w:rPr>
            </w:pPr>
            <w:r>
              <w:rPr>
                <w:rFonts w:ascii="楷体" w:eastAsia="楷体" w:hAnsi="楷体" w:cs="楷体" w:hint="eastAsia"/>
                <w:sz w:val="22"/>
                <w:szCs w:val="22"/>
                <w:lang w:eastAsia="zh-CN"/>
              </w:rPr>
              <w:tab/>
            </w:r>
            <w:r>
              <w:rPr>
                <w:rFonts w:ascii="楷体" w:eastAsia="楷体" w:hAnsi="楷体" w:cs="楷体" w:hint="eastAsia"/>
                <w:sz w:val="22"/>
                <w:szCs w:val="22"/>
              </w:rPr>
              <w:t xml:space="preserve">合计</w:t>
            </w:r>
            <w:r>
              <w:rPr>
                <w:rFonts w:ascii="楷体" w:eastAsia="楷体" w:hAnsi="楷体" w:cs="楷体" w:hint="eastAsia"/>
                <w:sz w:val="22"/>
                <w:szCs w:val="22"/>
                <w:lang w:eastAsia="zh-CN"/>
              </w:rPr>
              <w:tab/>
            </w:r>
          </w:p>
        </w:tc>
        <w:tc>
          <w:tcPr>
            <w:tcW w:w="2643" w:type="dxa"/>
            <w:shd w:val="clear" w:color="auto" w:fill="auto"/>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25.95%</w:t>
            </w:r>
          </w:p>
        </w:tc>
        <w:tc>
          <w:tcPr>
            <w:tcW w:w="2652" w:type="dxa"/>
            <w:shd w:val="clear" w:color="auto" w:fill="FFFFFF"/>
            <w:vAlign w:val="center"/>
          </w:tcPr>
          <w:p>
            <w:pPr>
              <w:jc w:val="center"/>
              <w:rPr>
                <w:rFonts w:ascii="楷体" w:eastAsia="楷体" w:hAnsi="楷体" w:cs="楷体" w:hint="eastAsia"/>
                <w:sz w:val="22"/>
                <w:szCs w:val="22"/>
              </w:rPr>
            </w:pPr>
            <w:r>
              <w:rPr>
                <w:rFonts w:ascii="楷体" w:eastAsia="楷体" w:hAnsi="楷体" w:cs="楷体" w:hint="eastAsia"/>
                <w:sz w:val="22"/>
                <w:szCs w:val="22"/>
              </w:rPr>
              <w:t xml:space="preserve">74.05%</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序号</w:t>
            </w:r>
          </w:p>
        </w:tc>
        <w:tc>
          <w:tcPr>
            <w:tcW w:w="2434"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资产名称</w:t>
            </w:r>
          </w:p>
        </w:tc>
        <w:tc>
          <w:tcPr>
            <w:tcW w:w="127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资产类别</w:t>
            </w:r>
          </w:p>
        </w:tc>
        <w:tc>
          <w:tcPr>
            <w:tcW w:w="2235"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持有金额（元）</w:t>
            </w:r>
          </w:p>
        </w:tc>
        <w:tc>
          <w:tcPr>
            <w:tcW w:w="1800" w:type="dxa"/>
            <w:vAlign w:val="center"/>
          </w:tcPr>
          <w:p>
            <w:pPr>
              <w:spacing w:line="320" w:lineRule="exact"/>
              <w:jc w:val="center"/>
              <w:rPr>
                <w:rFonts w:ascii="楷体" w:eastAsia="楷体" w:hAnsi="楷体" w:cs="楷体" w:hint="eastAsia"/>
                <w:sz w:val="22"/>
                <w:szCs w:val="22"/>
              </w:rPr>
            </w:pPr>
            <w:r>
              <w:rPr>
                <w:rFonts w:ascii="楷体" w:eastAsia="楷体" w:hAnsi="楷体" w:cs="楷体" w:hint="eastAsia"/>
                <w:sz w:val="22"/>
                <w:szCs w:val="22"/>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w:t>
            </w:r>
          </w:p>
        </w:tc>
        <w:tc>
          <w:tcPr>
            <w:tcW w:w="2434"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固收增强270天农行江苏20251216</w:t>
            </w:r>
          </w:p>
        </w:tc>
        <w:tc>
          <w:tcPr>
            <w:tcW w:w="127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现金及银行存款</w:t>
            </w:r>
          </w:p>
        </w:tc>
        <w:tc>
          <w:tcPr>
            <w:tcW w:w="2235"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800,579,555.52</w:t>
            </w:r>
          </w:p>
        </w:tc>
        <w:tc>
          <w:tcPr>
            <w:tcW w:w="1800" w:type="dxa"/>
          </w:tcPr>
          <w:p>
            <w:pPr>
              <w:jc w:val="center"/>
              <w:rPr>
                <w:rFonts w:ascii="楷体" w:eastAsia="楷体" w:hAnsi="楷体" w:cs="楷体" w:hint="eastAsia"/>
                <w:sz w:val="22"/>
                <w:szCs w:val="22"/>
              </w:rPr>
            </w:pPr>
            <w:r>
              <w:rPr>
                <w:rFonts w:ascii="楷体" w:eastAsia="楷体" w:hAnsi="楷体" w:cs="楷体" w:hint="eastAsia"/>
                <w:sz w:val="22"/>
                <w:szCs w:val="22"/>
              </w:rPr>
              <w:t xml:space="preserve">14.55%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637,448,182.17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11.59%</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25南京银行CD198</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210,480,691.20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3.83%</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拆放同业及债券买入返售</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119,455,682.79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2.17%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25农业银行CD381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101,355,491.40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1.84%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博时中债0-3年国开行ETF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93,739,508.40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1.70%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25北京银行CD186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50,663,305.95</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0.92%</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25北京银行CD175</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同业存单</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49,352,631.77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0.90%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金元顺安金元宝B</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48,602,892.11</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华安黄金ETF</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公募基金</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46,505,000.00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0.85%</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w:t>
      </w:r>
      <w:r>
        <w:rPr>
          <w:rFonts w:ascii="楷体" w:eastAsia="楷体" w:hAnsi="楷体" w:cs="楷体" w:hint="eastAsia"/>
          <w:sz w:val="22"/>
          <w:szCs w:val="24"/>
          <w:lang w:eastAsia="zh-CN"/>
        </w:rPr>
        <w:t xml:space="preserve">、</w:t>
      </w:r>
      <w:r>
        <w:rPr>
          <w:rFonts w:ascii="楷体" w:eastAsia="楷体" w:hAnsi="楷体" w:cs="楷体" w:hint="eastAsia"/>
          <w:sz w:val="22"/>
          <w:szCs w:val="24"/>
        </w:rPr>
        <w:t xml:space="preserve">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w:t>
            </w:r>
          </w:p>
        </w:tc>
      </w:tr>
    </w:tbl>
    <w:p>
      <w:pPr>
        <w:pStyle w:val="标题4"/>
        <w:rPr>
          <w:rFonts w:ascii="楷体" w:eastAsia="楷体" w:hAnsi="楷体" w:cs="楷体" w:hint="eastAsia"/>
        </w:rPr>
      </w:pPr>
    </w:p>
    <w:p>
      <w:pPr>
        <w:pStyle w:val="Heading3"/>
        <w:numPr>
          <w:ilvl w:val="0"/>
          <w:numId w:val="3"/>
        </w:numPr>
        <w:ind w:left="120" w:firstLine="0" w:leftChars="0" w:firstLineChars="0"/>
        <w:rPr>
          <w:rFonts w:ascii="楷体" w:eastAsia="楷体" w:hAnsi="楷体" w:cs="楷体" w:hint="eastAsia"/>
          <w:b w:val="0"/>
          <w:sz w:val="21"/>
        </w:rPr>
      </w:pPr>
      <w:r>
        <w:rPr>
          <w:rFonts w:ascii="楷体" w:eastAsia="楷体" w:hAnsi="楷体" w:cs="楷体" w:hint="eastAsia"/>
          <w:b w:val="0"/>
          <w:sz w:val="21"/>
        </w:rPr>
        <w:t xml:space="preserve">关联交易情况</w:t>
      </w:r>
    </w:p>
    <w:p>
      <w:pPr>
        <w:spacing w:line="320" w:lineRule="exact"/>
        <w:ind w:firstLine="220" w:firstLineChars="100"/>
        <w:rPr>
          <w:rFonts w:hint="eastAsia"/>
        </w:rPr>
      </w:pPr>
      <w:r>
        <w:rPr>
          <w:rFonts w:ascii="楷体" w:eastAsia="楷体" w:hAnsi="楷体" w:cs="楷体" w:hint="eastAsia"/>
          <w:sz w:val="22"/>
          <w:szCs w:val="24"/>
          <w:highlight w:val="none"/>
          <w:lang w:val="en-US" w:eastAsia="zh-CN"/>
        </w:rPr>
        <w:t xml:space="preserve">1、理财产品关联交易</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江苏省国际信托有限责任公司</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NETA20201230000002</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江苏信托鼎泰1号集合资金信托计划</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122,473,688.00</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150,600,000.00</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苏州银行股份有限公司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354,980.47</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江苏仪征农村商业银行股份有限公司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10.68</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东吴证券股份有限公司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49,000,049.00</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971,946.83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2,079,513.62</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回购</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江苏省国际信托有限责任公司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60,000,060.00</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p>
    <w:p>
      <w:pPr>
        <w:bidi w:val="0"/>
        <w:spacing w:line="320" w:lineRule="exact"/>
        <w:ind w:firstLine="220" w:firstLineChars="100"/>
        <w:jc w:val="left"/>
        <w:rPr>
          <w:rFonts w:ascii="楷体" w:eastAsia="楷体" w:hAnsi="楷体" w:cs="楷体" w:hint="eastAsia"/>
          <w:color w:val="auto"/>
          <w:sz w:val="22"/>
          <w:szCs w:val="24"/>
          <w:highlight w:val="none"/>
          <w:lang w:val="en-US" w:eastAsia="zh-CN"/>
        </w:rPr>
      </w:pPr>
      <w:r>
        <w:rPr>
          <w:rFonts w:ascii="楷体" w:eastAsia="楷体" w:hAnsi="楷体" w:cs="楷体" w:hint="eastAsia"/>
          <w:color w:val="auto"/>
          <w:sz w:val="22"/>
          <w:szCs w:val="24"/>
          <w:highlight w:val="none"/>
          <w:lang w:val="en-US" w:eastAsia="zh-CN"/>
        </w:rPr>
        <w:t xml:space="preserve">2、关联方申购理财产品</w:t>
      </w:r>
    </w:p>
    <w:p>
      <w:pPr>
        <w:bidi w:val="0"/>
        <w:ind w:firstLine="440" w:firstLineChars="200"/>
        <w:jc w:val="both"/>
        <w:rPr>
          <w:highlight w:val="none"/>
        </w:rPr>
      </w:pPr>
      <w:r>
        <w:rPr>
          <w:rFonts w:ascii="楷体" w:eastAsia="楷体" w:hAnsi="楷体" w:cs="楷体" w:hint="eastAsia"/>
          <w:color w:val="auto"/>
          <w:kern w:val="2"/>
          <w:sz w:val="22"/>
          <w:szCs w:val="22"/>
          <w:highlight w:val="none"/>
          <w:lang w:val="en-US" w:eastAsia="zh-CN" w:bidi="ar-SA"/>
        </w:rPr>
        <w:t xml:space="preserve">报告期内，除本公司以外的关联方累计申购本产品</w:t>
      </w:r>
      <w:r>
        <w:rPr>
          <w:rFonts w:ascii="楷体" w:eastAsia="楷体" w:hAnsi="楷体" w:cs="楷体" w:hint="eastAsia"/>
          <w:sz w:val="22"/>
          <w:szCs w:val="22"/>
        </w:rPr>
        <w:t xml:space="preserve">560,000.00</w:t>
      </w:r>
      <w:r>
        <w:rPr>
          <w:rFonts w:ascii="楷体" w:eastAsia="楷体" w:hAnsi="楷体" w:cs="楷体" w:hint="eastAsia"/>
          <w:color w:val="auto"/>
          <w:kern w:val="2"/>
          <w:sz w:val="22"/>
          <w:szCs w:val="22"/>
          <w:highlight w:val="none"/>
          <w:lang w:val="en-US" w:eastAsia="zh-CN" w:bidi="ar-SA"/>
        </w:rPr>
        <w:t xml:space="preserve">元。</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苏银理财恒源鑫泰（固收增强）最短持有270天A</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55,984,928.86</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2025-12-31</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4,880,062,705.79</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2025-09-30</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4,687,558,885.82</w:t>
            </w:r>
          </w:p>
        </w:tc>
      </w:tr>
    </w:tbl>
    <w:p>
      <w:pPr>
        <w:pStyle w:val="标题4"/>
        <w:rPr>
          <w:rFonts w:ascii="楷体" w:eastAsia="楷体" w:hAnsi="楷体" w:cs="楷体" w:hint="eastAsia"/>
        </w:rPr>
      </w:pPr>
    </w:p>
    <w:p>
      <w:pPr>
        <w:pStyle w:val="Heading3"/>
        <w:rPr>
          <w:rFonts w:ascii="楷体" w:eastAsia="楷体" w:hAnsi="楷体" w:cs="楷体" w:hint="eastAsia"/>
          <w:spacing w:val="0"/>
        </w:rPr>
      </w:pPr>
      <w:r>
        <w:rPr>
          <w:rFonts w:ascii="楷体" w:eastAsia="楷体" w:hAnsi="楷体" w:cs="楷体" w:hint="eastAsia"/>
          <w:spacing w:val="0"/>
        </w:rPr>
        <w:t xml:space="preserve">四</w:t>
      </w:r>
      <w:r>
        <w:rPr>
          <w:rFonts w:ascii="楷体" w:hAnsi="楷体" w:cs="楷体" w:hint="eastAsia"/>
          <w:spacing w:val="0"/>
          <w:lang w:eastAsia="zh-CN"/>
        </w:rPr>
        <w:t xml:space="preserve">、</w:t>
      </w:r>
      <w:r>
        <w:rPr>
          <w:rFonts w:ascii="楷体" w:eastAsia="楷体" w:hAnsi="楷体" w:cs="楷体" w:hint="eastAsia"/>
          <w:spacing w:val="0"/>
        </w:rPr>
        <w:t xml:space="preserve">投资运作情况</w:t>
      </w: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1、运作期回顾</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回顾整个2025年，万得全A指数收涨27.65%，沪深300指数收涨17.66%，中证2000指数收涨36.42%。自4月7日市场底部形成后，市场一路震荡向上，上证指数突破4000点，创十年新高。二三季度市场进入轮动普涨行情，基本各个板块都有所表现，国庆后市场迎来冲高回调，市场进入震荡整理，市场风格由前期科技成长一枝独秀逐步向更加均衡的方向演化。全年来看，流动性充裕背景下的市场风险偏好提升，市场热点及板块轮动不断，各大指数在波动中突破向上。</w:t>
      </w:r>
    </w:p>
    <w:p>
      <w:pPr>
        <w:pStyle w:val="BodyText"/>
        <w:spacing w:before="0" w:line="240" w:lineRule="auto"/>
        <w:ind w:left="0" w:right="0" w:firstLine="0" w:firstLineChars="0"/>
        <w:rPr>
          <w:rFonts w:ascii="楷体" w:eastAsia="楷体" w:hAnsi="楷体" w:cs="楷体" w:hint="eastAsia"/>
          <w:spacing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2、后市展望及下阶段投资策略</w:t>
      </w:r>
    </w:p>
    <w:p>
      <w:pPr>
        <w:pStyle w:val="BodyText"/>
        <w:spacing w:before="0" w:line="240" w:lineRule="auto"/>
        <w:ind w:left="0" w:right="0" w:firstLine="0" w:firstLineChars="0"/>
        <w:jc w:val="left"/>
        <w:rPr>
          <w:rFonts w:ascii="楷体" w:eastAsia="楷体" w:hAnsi="楷体" w:cs="楷体" w:hint="eastAsia"/>
          <w:spacing w:val="0"/>
          <w:sz w:val="21"/>
          <w:szCs w:val="21"/>
        </w:rPr>
      </w:pPr>
      <w:r>
        <w:rPr>
          <w:rFonts w:ascii="楷体" w:eastAsia="楷体" w:hAnsi="楷体" w:cs="楷体" w:hint="eastAsia"/>
          <w:spacing w:val="0"/>
          <w:sz w:val="21"/>
          <w:szCs w:val="21"/>
        </w:rPr>
        <w:t xml:space="preserve">    展望2026年，我们认为市场波动预计比2025年更大，但我们认为仍有结构性机会。比如科技方面，海外大厂对AI的资本支出持续上修，大模型保持迭代，军备竞赛尚未结束。周期方面，部分子行业或将受益于反内卷政策，叠加需求端改善，中期景气大概率趋于向上。因此，在波动率放大的市场中，做好多元资产的均衡配置和波动控制仍是重中之重。机会仍与风险同在，国内股市的核心驱动逻辑将从去年的低估值修复转向今年的盈利增长，新旧动能转换背景下，我们需要灵活把握市场的结构性行情，不断丰富权益策略的收益来源和方向，争取在更高的安全边际上为持有人获得更加稳健的收益。</w:t>
      </w:r>
    </w:p>
    <w:p>
      <w:pPr>
        <w:ind w:firstLine="0" w:firstLineChars="0"/>
        <w:rPr>
          <w:rFonts w:ascii="楷体" w:eastAsia="楷体" w:hAnsi="楷体" w:cs="楷体" w:hint="eastAsia"/>
          <w:bCs/>
          <w:spacing w:val="0"/>
          <w:kern w:val="0"/>
          <w:sz w:val="21"/>
          <w:szCs w:val="21"/>
        </w:rPr>
      </w:pPr>
    </w:p>
    <w:p>
      <w:pPr>
        <w:pStyle w:val="Heading3"/>
        <w:rPr>
          <w:rFonts w:ascii="楷体" w:eastAsia="楷体" w:hAnsi="楷体" w:cs="楷体" w:hint="eastAsia"/>
          <w:b w:val="0"/>
          <w:spacing w:val="0"/>
          <w:sz w:val="21"/>
          <w:szCs w:val="21"/>
        </w:rPr>
      </w:pPr>
      <w:r>
        <w:rPr>
          <w:rFonts w:ascii="楷体" w:eastAsia="楷体" w:hAnsi="楷体" w:cs="楷体" w:hint="eastAsia"/>
          <w:b w:val="0"/>
          <w:spacing w:val="0"/>
          <w:sz w:val="21"/>
          <w:szCs w:val="21"/>
        </w:rPr>
        <w:t xml:space="preserve">3、流动性风险分析</w:t>
      </w:r>
    </w:p>
    <w:p>
      <w:pPr>
        <w:pStyle w:val="BodyText"/>
        <w:spacing w:before="0" w:line="240" w:lineRule="auto"/>
        <w:ind w:left="0" w:right="0" w:firstLine="0" w:firstLineChars="0"/>
        <w:rPr>
          <w:rFonts w:ascii="楷体" w:eastAsia="楷体" w:hAnsi="楷体" w:cs="楷体" w:hint="eastAsia"/>
          <w:spacing w:val="0"/>
          <w:sz w:val="21"/>
          <w:szCs w:val="21"/>
        </w:rPr>
      </w:pPr>
      <w:r>
        <w:rPr>
          <w:rFonts w:ascii="楷体" w:eastAsia="楷体" w:hAnsi="楷体" w:cs="楷体" w:hint="eastAsia"/>
          <w:spacing w:val="0"/>
          <w:sz w:val="21"/>
          <w:szCs w:val="21"/>
        </w:rPr>
        <w:t xml:space="preserve">    本产品投向债券资产信用资质较好，股票资产仓位较低，整体流动性风险可控。</w:t>
      </w:r>
    </w:p>
    <w:p>
      <w:pPr>
        <w:pStyle w:val="BodyText"/>
        <w:spacing w:before="0" w:line="240" w:lineRule="auto"/>
        <w:ind w:left="0" w:right="0" w:firstLine="0" w:firstLineChars="0"/>
        <w:rPr>
          <w:rFonts w:ascii="楷体" w:eastAsia="楷体" w:hAnsi="楷体" w:cs="楷体" w:hint="eastAsia"/>
          <w:spacing w:val="9"/>
          <w:sz w:val="21"/>
        </w:rPr>
      </w:pPr>
    </w:p>
    <w:p>
      <w:pPr>
        <w:pStyle w:val="Heading3"/>
        <w:rPr>
          <w:rFonts w:ascii="楷体" w:hAnsi="楷体"/>
          <w:sz w:val="24"/>
          <w:szCs w:val="24"/>
        </w:rPr>
      </w:pPr>
      <w:r>
        <w:rPr>
          <w:rFonts w:ascii="楷体" w:hAnsi="楷体" w:hint="eastAsia"/>
          <w:sz w:val="24"/>
          <w:szCs w:val="24"/>
        </w:rPr>
        <w:t xml:space="preserve">五</w:t>
      </w:r>
      <w:r>
        <w:rPr>
          <w:rFonts w:ascii="楷体" w:hAnsi="楷体" w:hint="eastAsia"/>
          <w:sz w:val="24"/>
          <w:szCs w:val="24"/>
          <w:lang w:eastAsia="zh-CN"/>
        </w:rPr>
        <w:t xml:space="preserve">、</w:t>
      </w:r>
      <w:r>
        <w:rPr>
          <w:rFonts w:ascii="楷体" w:hAnsi="楷体" w:hint="eastAsia"/>
          <w:sz w:val="24"/>
          <w:szCs w:val="24"/>
        </w:rPr>
        <w:t xml:space="preserve">托管人报告</w:t>
      </w:r>
    </w:p>
    <w:p>
      <w:pPr>
        <w:jc w:val="left"/>
        <w:rPr>
          <w:rFonts w:ascii="楷体" w:eastAsia="楷体" w:hAnsi="楷体" w:cs="楷体" w:hint="eastAsia"/>
          <w:spacing w:val="9"/>
          <w:sz w:val="21"/>
          <w:szCs w:val="21"/>
        </w:rPr>
      </w:pPr>
      <w:bookmarkStart w:id="1" w:name="_GoBack"/>
      <w:bookmarkEnd w:id="1"/>
      <w:r>
        <w:rPr>
          <w:rFonts w:ascii="楷体" w:eastAsia="楷体" w:hAnsi="楷体" w:cs="楷体" w:hint="eastAsia"/>
          <w:spacing w:val="0"/>
          <w:sz w:val="21"/>
          <w:szCs w:val="21"/>
        </w:rPr>
        <w:t xml:space="preserve">    在本报告期内，托管人严格遵守有关法律法规、托管协议关于托管人职责的约定，尽职尽责地履行了托管职责。在管理人提供的各项数据和信息真实、准确、有效的前提下，在托管人能够知悉和掌握的情况范围内，托管人对财务数据进行了复核，未发现存在虚假记载、误导性陈述或者重大遗漏的情形。</w:t>
      </w: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2025年12月31日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E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1743"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1745"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1746"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1748"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2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character" w:styleId="annotationreference">
    <w:name w:val="annotation reference"/>
    <w:uiPriority w:val="99"/>
    <w:unhideWhenUsed/>
    <w:qFormat/>
    <w:rPr>
      <w:sz w:val="21"/>
      <w:szCs w:val="21"/>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无间隔1">
    <w:name w:val="无间隔1"/>
    <w:uiPriority w:val="1"/>
    <w:qFormat/>
    <w:pPr>
      <w:widowControl w:val="0"/>
      <w:jc w:val="both"/>
    </w:pPr>
    <w:rPr>
      <w:rFonts w:ascii="等线" w:eastAsia="等线" w:hAnsi="等线"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zhangguoxing</cp:lastModifiedBy>
  <dcterms:modified xsi:type="dcterms:W3CDTF">2026-03-23T08:13:28Z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0</TotalTime>
  <ScaleCrop>false</ScaleCrop>
  <LinksUpToDate>false</LinksUpToDate>
  <CharactersWithSpaces>2803</CharactersWithSpaces>
  <Application>WPS Office_10.8.2.7119_F1E327BC-269C-435d-A152-05C5408002CA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2052-10.8.2.7119</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0</TotalTime>
  <Pages>4</Pages>
  <Words>419</Words>
  <Characters>2389</Characters>
  <Application>WPS Office_10.8.2.7119_F1E327BC-269C-435d-A152-05C5408002CA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zhangguoxing</cp:lastModifiedBy>
  <cp:revision>22</cp:revision>
  <dcterms:created xsi:type="dcterms:W3CDTF">2021-11-18T10:04:00Z</dcterms:created>
  <dcterms:modified xsi:type="dcterms:W3CDTF">2026-04-13T10:06:50Z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2052-10.8.2.7119</vt:lpstr>
  </property>
  <property fmtid="{D5CDD505-2E9C-101B-9397-08002B2CF9AE}" pid="3" name="ICV">
    <vt:lpstr>31802637FF8E4298AD1DCE61A946E12D</vt:lpstr>
  </property>
</Properties>
</file>