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苏银理财启源现金6号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rPr>
      </w:pPr>
      <w:r>
        <w:rPr>
          <w:rFonts w:ascii="楷体" w:eastAsia="楷体" w:hAnsi="楷体" w:cs="楷体" w:hint="eastAsia"/>
        </w:rPr>
        <w:t xml:space="preserve">“</w:t>
      </w:r>
      <w:r>
        <w:rPr>
          <w:rFonts w:ascii="楷体" w:eastAsia="楷体" w:hAnsi="楷体" w:cs="楷体" w:hint="eastAsia"/>
          <w:spacing w:val="-7"/>
        </w:rPr>
        <w:t xml:space="preserve">苏银理财启源现金6号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2023年07月20日</w:t>
      </w:r>
      <w:r>
        <w:rPr>
          <w:rFonts w:ascii="楷体" w:eastAsia="楷体" w:hAnsi="楷体" w:cs="楷体" w:hint="eastAsia"/>
        </w:rPr>
        <w:t xml:space="preserve">成立，于</w:t>
      </w:r>
      <w:r>
        <w:rPr>
          <w:rFonts w:ascii="楷体" w:eastAsia="楷体" w:hAnsi="楷体" w:cs="楷体" w:hint="eastAsia"/>
          <w:spacing w:val="-7"/>
        </w:rPr>
        <w:t xml:space="preserve">2023年07月20日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rPr>
      </w:pPr>
    </w:p>
    <w:p>
      <w:pPr>
        <w:pStyle w:val="Heading3"/>
        <w:rPr>
          <w:rFonts w:ascii="楷体" w:hAnsi="楷体" w:cs="楷体"/>
        </w:rPr>
      </w:pPr>
      <w:r>
        <w:rPr>
          <w:rFonts w:ascii="楷体" w:hAnsi="楷体" w:cs="楷体" w:hint="eastAsia"/>
        </w:rPr>
        <w:t xml:space="preserve">一</w:t>
      </w:r>
      <w:bookmarkStart w:id="0" w:name="_Toc535504139"/>
      <w:r>
        <w:rPr>
          <w:rFonts w:ascii="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sz w:val="22"/>
                <w:szCs w:val="22"/>
                <w:highlight w:val="yellow"/>
              </w:rPr>
            </w:pPr>
            <w:r>
              <w:rPr>
                <w:rFonts w:hint="eastAsia"/>
                <w:spacing w:val="-6"/>
                <w:sz w:val="22"/>
                <w:szCs w:val="22"/>
              </w:rPr>
              <w:t xml:space="preserve">苏银理财启源现金6号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sz w:val="22"/>
                <w:szCs w:val="22"/>
                <w:highlight w:val="yellow"/>
              </w:rPr>
            </w:pPr>
            <w:r>
              <w:rPr>
                <w:rFonts w:hint="eastAsia"/>
                <w:spacing w:val="-1"/>
                <w:sz w:val="22"/>
                <w:szCs w:val="22"/>
              </w:rPr>
              <w:t xml:space="preserve">Z7003123000103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sz w:val="22"/>
                <w:szCs w:val="22"/>
                <w:highlight w:val="yellow"/>
              </w:rPr>
            </w:pPr>
            <w:r>
              <w:rPr>
                <w:rFonts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sz w:val="22"/>
                <w:szCs w:val="22"/>
                <w:highlight w:val="yellow"/>
              </w:rPr>
            </w:pPr>
            <w:r>
              <w:rPr>
                <w:rFonts w:hint="eastAsia"/>
                <w:spacing w:val="-1"/>
                <w:sz w:val="22"/>
                <w:szCs w:val="22"/>
              </w:rPr>
              <w:t xml:space="preserve">14,228,292,912.51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sz w:val="22"/>
                <w:szCs w:val="22"/>
                <w:highlight w:val="yellow"/>
              </w:rPr>
            </w:pPr>
            <w:r>
              <w:rPr>
                <w:rFonts w:hint="eastAsia"/>
                <w:spacing w:val="-1"/>
                <w:sz w:val="22"/>
                <w:szCs w:val="22"/>
              </w:rPr>
              <w:t xml:space="preserve">14,228,292,912.51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sz w:val="22"/>
                <w:szCs w:val="22"/>
                <w:highlight w:val="yellow"/>
              </w:rPr>
            </w:pPr>
            <w:r>
              <w:rPr>
                <w:rFonts w:hint="eastAsia"/>
                <w:spacing w:val="-8"/>
                <w:sz w:val="22"/>
                <w:szCs w:val="22"/>
              </w:rPr>
              <w:t xml:space="preserve">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sz w:val="22"/>
                <w:szCs w:val="22"/>
                <w:highlight w:val="yellow"/>
              </w:rPr>
            </w:pPr>
            <w:r>
              <w:rPr>
                <w:rFonts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sz w:val="22"/>
                <w:szCs w:val="22"/>
                <w:highlight w:val="yellow"/>
              </w:rPr>
            </w:pPr>
            <w:r>
              <w:rPr>
                <w:rFonts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sz w:val="22"/>
                <w:szCs w:val="22"/>
                <w:highlight w:val="yellow"/>
              </w:rPr>
            </w:pPr>
            <w:r>
              <w:rPr>
                <w:rFonts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sz w:val="22"/>
                <w:szCs w:val="22"/>
                <w:highlight w:val="yellow"/>
              </w:rPr>
            </w:pPr>
            <w:r>
              <w:rPr>
                <w:rFonts w:hint="eastAsia"/>
                <w:spacing w:val="-1"/>
                <w:sz w:val="22"/>
                <w:szCs w:val="22"/>
              </w:rPr>
              <w:t xml:space="preserve">31000188000543259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sz w:val="22"/>
                <w:szCs w:val="22"/>
              </w:rPr>
            </w:pPr>
            <w:r>
              <w:rPr>
                <w:rFonts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sz w:val="22"/>
                <w:szCs w:val="22"/>
              </w:rPr>
            </w:pPr>
            <w:r>
              <w:rPr>
                <w:rFonts w:hint="eastAsia"/>
                <w:spacing w:val="-1"/>
                <w:sz w:val="22"/>
                <w:szCs w:val="22"/>
              </w:rPr>
              <w:t xml:space="preserve">14,229,851,146.71</w:t>
            </w:r>
            <w:r>
              <w:rPr>
                <w:rFonts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sz w:val="22"/>
                <w:szCs w:val="22"/>
              </w:rPr>
            </w:pPr>
            <w:r>
              <w:rPr>
                <w:rFonts w:hint="eastAsia"/>
                <w:spacing w:val="-4"/>
                <w:sz w:val="22"/>
                <w:szCs w:val="22"/>
              </w:rPr>
              <w:t xml:space="preserve">100.01%</w:t>
            </w:r>
          </w:p>
        </w:tc>
      </w:tr>
    </w:tbl>
    <w:p>
      <w:pPr>
        <w:pStyle w:val="标题4"/>
        <w:rPr>
          <w:rFonts w:ascii="楷体" w:hAnsi="楷体" w:cs="楷体"/>
        </w:rPr>
      </w:pPr>
    </w:p>
    <w:p>
      <w:pPr>
        <w:pStyle w:val="Heading3"/>
        <w:rPr>
          <w:rFonts w:ascii="楷体" w:hAnsi="楷体" w:cs="楷体"/>
        </w:rPr>
      </w:pPr>
      <w:r>
        <w:rPr>
          <w:rFonts w:ascii="楷体" w:hAnsi="楷体" w:cs="楷体" w:hint="eastAsia"/>
        </w:rPr>
        <w:t xml:space="preserve">二、产品收益与业绩比较基准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085"/>
        <w:gridCol w:w="1500"/>
        <w:gridCol w:w="1665"/>
        <w:gridCol w:w="1861"/>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sz w:val="21"/>
                <w:szCs w:val="21"/>
              </w:rPr>
            </w:pPr>
            <w:r>
              <w:rPr>
                <w:rFonts w:ascii="楷体" w:eastAsia="楷体" w:hAnsi="楷体" w:cs="楷体" w:hint="eastAsia"/>
                <w:sz w:val="21"/>
                <w:szCs w:val="21"/>
              </w:rPr>
              <w:t xml:space="preserve">报告日期</w:t>
            </w:r>
          </w:p>
        </w:tc>
        <w:tc>
          <w:tcPr>
            <w:tcW w:w="2085" w:type="dxa"/>
          </w:tcPr>
          <w:p>
            <w:pPr>
              <w:spacing w:line="320" w:lineRule="exact"/>
              <w:jc w:val="center"/>
              <w:rPr>
                <w:rFonts w:ascii="楷体" w:eastAsia="楷体" w:hAnsi="楷体" w:cs="楷体"/>
                <w:sz w:val="21"/>
                <w:szCs w:val="21"/>
              </w:rPr>
            </w:pPr>
            <w:r>
              <w:rPr>
                <w:rFonts w:ascii="楷体" w:eastAsia="楷体" w:hAnsi="楷体" w:cs="楷体" w:hint="eastAsia"/>
                <w:sz w:val="21"/>
                <w:szCs w:val="21"/>
              </w:rPr>
              <w:t xml:space="preserve">销售名称</w:t>
            </w:r>
          </w:p>
        </w:tc>
        <w:tc>
          <w:tcPr>
            <w:tcW w:w="1500" w:type="dxa"/>
          </w:tcPr>
          <w:p>
            <w:pPr>
              <w:jc w:val="center"/>
              <w:rPr>
                <w:rFonts w:ascii="楷体" w:eastAsia="楷体" w:hAnsi="楷体" w:cs="楷体"/>
                <w:sz w:val="21"/>
                <w:szCs w:val="21"/>
              </w:rPr>
            </w:pPr>
            <w:r>
              <w:rPr>
                <w:rFonts w:ascii="楷体" w:eastAsia="楷体" w:hAnsi="楷体" w:cs="楷体" w:hint="eastAsia"/>
                <w:sz w:val="21"/>
                <w:szCs w:val="21"/>
              </w:rPr>
              <w:t xml:space="preserve">每万份收益</w:t>
            </w:r>
          </w:p>
        </w:tc>
        <w:tc>
          <w:tcPr>
            <w:tcW w:w="1665" w:type="dxa"/>
          </w:tcPr>
          <w:p>
            <w:pPr>
              <w:jc w:val="center"/>
              <w:rPr>
                <w:rFonts w:ascii="楷体" w:eastAsia="楷体" w:hAnsi="楷体" w:cs="楷体"/>
                <w:sz w:val="21"/>
                <w:szCs w:val="21"/>
              </w:rPr>
            </w:pPr>
            <w:r>
              <w:rPr>
                <w:rFonts w:ascii="楷体" w:eastAsia="楷体" w:hAnsi="楷体" w:cs="楷体" w:hint="eastAsia"/>
                <w:sz w:val="21"/>
                <w:szCs w:val="21"/>
              </w:rPr>
              <w:t xml:space="preserve">七日年化收益率</w:t>
            </w:r>
          </w:p>
        </w:tc>
        <w:tc>
          <w:tcPr>
            <w:tcW w:w="1861" w:type="dxa"/>
          </w:tcPr>
          <w:p>
            <w:pPr>
              <w:jc w:val="center"/>
              <w:rPr>
                <w:rFonts w:ascii="楷体" w:eastAsia="楷体" w:hAnsi="楷体" w:cs="楷体"/>
                <w:sz w:val="21"/>
                <w:szCs w:val="21"/>
              </w:rPr>
            </w:pPr>
            <w:r>
              <w:rPr>
                <w:rFonts w:ascii="楷体" w:eastAsia="楷体" w:hAnsi="楷体" w:cs="楷体" w:hint="eastAsia"/>
                <w:sz w:val="21"/>
                <w:szCs w:val="21"/>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sz w:val="22"/>
              </w:rPr>
            </w:pPr>
            <w:r>
              <w:rPr>
                <w:rFonts w:ascii="楷体" w:eastAsia="楷体" w:hAnsi="楷体" w:cs="楷体" w:hint="eastAsia"/>
                <w:sz w:val="22"/>
              </w:rPr>
              <w:t xml:space="preserve">2025-12-31</w:t>
            </w:r>
          </w:p>
        </w:tc>
        <w:tc>
          <w:tcPr>
            <w:tcW w:w="2085" w:type="dxa"/>
          </w:tcPr>
          <w:p>
            <w:pPr>
              <w:jc w:val="center"/>
              <w:rPr>
                <w:rFonts w:ascii="楷体" w:eastAsia="楷体" w:hAnsi="楷体" w:cs="楷体"/>
                <w:sz w:val="22"/>
              </w:rPr>
            </w:pPr>
            <w:r>
              <w:rPr>
                <w:rFonts w:ascii="楷体" w:eastAsia="楷体" w:hAnsi="楷体" w:cs="楷体" w:hint="eastAsia"/>
                <w:sz w:val="22"/>
              </w:rPr>
              <w:t xml:space="preserve">苏银理财启源现金6号A</w:t>
            </w:r>
          </w:p>
        </w:tc>
        <w:tc>
          <w:tcPr>
            <w:tcW w:w="1500" w:type="dxa"/>
          </w:tcPr>
          <w:p>
            <w:pPr>
              <w:jc w:val="center"/>
              <w:rPr>
                <w:rFonts w:ascii="楷体" w:eastAsia="楷体" w:hAnsi="楷体" w:cs="楷体"/>
                <w:sz w:val="22"/>
              </w:rPr>
            </w:pPr>
            <w:r>
              <w:rPr>
                <w:rFonts w:ascii="楷体" w:eastAsia="楷体" w:hAnsi="楷体" w:cs="楷体" w:hint="eastAsia"/>
                <w:sz w:val="22"/>
              </w:rPr>
              <w:t xml:space="preserve">0.4594</w:t>
            </w:r>
          </w:p>
        </w:tc>
        <w:tc>
          <w:tcPr>
            <w:tcW w:w="1665" w:type="dxa"/>
          </w:tcPr>
          <w:p>
            <w:pPr>
              <w:jc w:val="center"/>
              <w:rPr>
                <w:rFonts w:ascii="楷体" w:eastAsia="楷体" w:hAnsi="楷体" w:cs="楷体"/>
                <w:sz w:val="22"/>
              </w:rPr>
            </w:pPr>
            <w:r>
              <w:rPr>
                <w:rFonts w:ascii="楷体" w:eastAsia="楷体" w:hAnsi="楷体" w:cs="楷体" w:hint="eastAsia"/>
                <w:sz w:val="22"/>
              </w:rPr>
              <w:t xml:space="preserve">1.65%</w:t>
            </w:r>
          </w:p>
        </w:tc>
        <w:tc>
          <w:tcPr>
            <w:tcW w:w="1861" w:type="dxa"/>
          </w:tcPr>
          <w:p>
            <w:pPr>
              <w:jc w:val="center"/>
              <w:rPr>
                <w:rFonts w:ascii="楷体" w:eastAsia="楷体" w:hAnsi="楷体" w:cs="楷体"/>
                <w:sz w:val="22"/>
              </w:rPr>
            </w:pPr>
            <w:r>
              <w:rPr>
                <w:rFonts w:ascii="楷体" w:eastAsia="楷体" w:hAnsi="楷体" w:cs="楷体" w:hint="eastAsia"/>
                <w:sz w:val="22"/>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苏银理财启源现金6号B</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0.4074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1.46%</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苏银理财启源现金6号DG</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0.4978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1.79%</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苏银理财启源现金6号DG2</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0.4952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1.77%</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苏银理财启源现金6号F</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0.4457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1.60%</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苏银理财启源现金6号H</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0.4594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1.65%</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苏银理财启源现金6号I</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0.4320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1.55%</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苏银理财启源现金6号J</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0.4074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1.46%</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苏银理财启源现金6号JS鑫福款</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0.4569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1.65%</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苏银理财启源现金6号K</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0.4594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1.65%</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苏银理财启源现金6号M</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0.4594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1.65%</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苏银理财启源现金6号N</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0.4594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1.65%</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苏银理财启源现金6号P</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0.4485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苏银理财启源现金6号S</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0.4539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1.63%</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苏银理财启源现金6号T</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0.4594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1.65%</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苏银理财启源现金6号W</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0.3855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1.38%</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苏银理财启源现金6号X</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0.4594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1.65%</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苏银理财启源现金6号（芙蓉锦程·优选）</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0.4211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bl>
    <w:p>
      <w:pPr>
        <w:rPr>
          <w:rFonts w:ascii="楷体" w:eastAsia="楷体" w:hAnsi="楷体" w:cs="楷体"/>
        </w:rPr>
      </w:pPr>
    </w:p>
    <w:p>
      <w:pPr>
        <w:rPr>
          <w:rFonts w:ascii="楷体" w:eastAsia="楷体" w:hAnsi="楷体" w:cs="楷体"/>
          <w:sz w:val="21"/>
          <w:szCs w:val="21"/>
        </w:rPr>
      </w:pPr>
      <w:r>
        <w:rPr>
          <w:rFonts w:ascii="楷体" w:eastAsia="楷体" w:hAnsi="楷体" w:cs="楷体" w:hint="eastAsia"/>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rPr>
      </w:pPr>
    </w:p>
    <w:p>
      <w:pPr>
        <w:pStyle w:val="Heading3"/>
        <w:ind w:left="0"/>
        <w:rPr>
          <w:rFonts w:ascii="楷体" w:hAnsi="楷体" w:cs="楷体"/>
        </w:rPr>
      </w:pPr>
      <w:r>
        <w:rPr>
          <w:rFonts w:ascii="楷体" w:hAnsi="楷体" w:cs="楷体" w:hint="eastAsia"/>
        </w:rPr>
        <w:t xml:space="preserve">三、产品投资组合情况</w:t>
      </w:r>
    </w:p>
    <w:p>
      <w:pPr>
        <w:pStyle w:val="Heading3"/>
        <w:rPr>
          <w:rFonts w:ascii="楷体" w:hAnsi="楷体" w:cs="楷体"/>
          <w:b w:val="0"/>
          <w:sz w:val="21"/>
        </w:rPr>
      </w:pPr>
      <w:r>
        <w:rPr>
          <w:rFonts w:ascii="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03"/>
        <w:gridCol w:w="2672"/>
        <w:gridCol w:w="2698"/>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序号</w:t>
            </w:r>
          </w:p>
        </w:tc>
        <w:tc>
          <w:tcPr>
            <w:tcW w:w="2203"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资产类别</w:t>
            </w:r>
          </w:p>
        </w:tc>
        <w:tc>
          <w:tcPr>
            <w:tcW w:w="2672"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直接投资占总资产的比例</w:t>
            </w:r>
          </w:p>
        </w:tc>
        <w:tc>
          <w:tcPr>
            <w:tcW w:w="2698"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1</w:t>
            </w:r>
          </w:p>
        </w:tc>
        <w:tc>
          <w:tcPr>
            <w:tcW w:w="2203"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固定收益类</w:t>
            </w:r>
          </w:p>
        </w:tc>
        <w:tc>
          <w:tcPr>
            <w:tcW w:w="2672"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71.02%</w:t>
            </w:r>
          </w:p>
        </w:tc>
        <w:tc>
          <w:tcPr>
            <w:tcW w:w="2698"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28.98%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0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7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9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0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7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9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0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7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9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2930" w:type="dxa"/>
            <w:gridSpan w:val="2"/>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合计</w:t>
            </w:r>
          </w:p>
        </w:tc>
        <w:tc>
          <w:tcPr>
            <w:tcW w:w="2672" w:type="dxa"/>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71.02%</w:t>
            </w:r>
          </w:p>
        </w:tc>
        <w:tc>
          <w:tcPr>
            <w:tcW w:w="2698" w:type="dxa"/>
            <w:shd w:val="clear" w:color="auto" w:fill="FFFFFF"/>
            <w:vAlign w:val="center"/>
          </w:tcPr>
          <w:p>
            <w:pPr>
              <w:jc w:val="center"/>
              <w:rPr>
                <w:rFonts w:ascii="楷体" w:eastAsia="楷体" w:hAnsi="楷体" w:cs="楷体"/>
                <w:sz w:val="22"/>
                <w:szCs w:val="22"/>
              </w:rPr>
            </w:pPr>
            <w:r>
              <w:rPr>
                <w:rFonts w:ascii="楷体" w:eastAsia="楷体" w:hAnsi="楷体" w:cs="楷体" w:hint="eastAsia"/>
                <w:sz w:val="22"/>
                <w:szCs w:val="22"/>
              </w:rPr>
              <w:t xml:space="preserve">28.98%</w:t>
            </w:r>
          </w:p>
        </w:tc>
      </w:tr>
    </w:tbl>
    <w:p>
      <w:pPr>
        <w:rPr>
          <w:rFonts w:ascii="楷体" w:eastAsia="楷体" w:hAnsi="楷体" w:cs="楷体"/>
        </w:rPr>
      </w:pPr>
    </w:p>
    <w:p>
      <w:pPr>
        <w:pStyle w:val="Heading3"/>
        <w:ind w:left="0"/>
        <w:rPr>
          <w:rFonts w:ascii="楷体" w:hAnsi="楷体" w:cs="楷体"/>
          <w:b w:val="0"/>
          <w:sz w:val="21"/>
        </w:rPr>
      </w:pPr>
      <w:r>
        <w:rPr>
          <w:rFonts w:ascii="楷体" w:hAnsi="楷体" w:cs="楷体" w:hint="eastAsia"/>
          <w:b w:val="0"/>
          <w:sz w:val="21"/>
        </w:rPr>
        <w:t xml:space="preserve">（二）期末理财产品持有的前十项资产</w:t>
      </w:r>
    </w:p>
    <w:tbl>
      <w:tblPr>
        <w:tblStyle w:val="TableNormal"/>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占产品总资产的比例（%）</w:t>
            </w:r>
          </w:p>
        </w:tc>
      </w:tr>
      <w:tr>
        <w:tblPrEx>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1</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1,050,415,995.69</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7.33%</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上银慧增利货币B</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355,444,979.55</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2.48%</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红土创新优淳货币B</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294,939,702.47</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2.06%</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24农发清发02</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203,620,140.99</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1.42%</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25国元证券CP013</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200,688,602.74</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1.40%</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银行存款20251201</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200,287,611.18</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1.40%</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25北京银行CD095</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198,436,445.71</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1.39%</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25光大银行CD138</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198,200,756.04</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1.38%</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25徽商银行CD153</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198,007,275.57</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1.38%</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25北京银行CD161</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197,372,907.40</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1.38%</w:t>
            </w:r>
          </w:p>
        </w:tc>
      </w:tr>
    </w:tbl>
    <w:p>
      <w:pPr>
        <w:pStyle w:val="标题4"/>
        <w:rPr>
          <w:rFonts w:ascii="楷体" w:hAnsi="楷体" w:cs="楷体"/>
        </w:rPr>
      </w:pPr>
    </w:p>
    <w:p>
      <w:pPr>
        <w:pStyle w:val="Heading3"/>
        <w:numPr>
          <w:ilvl w:val="0"/>
          <w:numId w:val="3"/>
        </w:numPr>
        <w:rPr>
          <w:rFonts w:ascii="楷体" w:hAnsi="楷体" w:cs="楷体"/>
          <w:b w:val="0"/>
          <w:sz w:val="21"/>
        </w:rPr>
      </w:pPr>
      <w:r>
        <w:rPr>
          <w:rFonts w:ascii="楷体" w:hAnsi="楷体" w:cs="楷体" w:hint="eastAsia"/>
          <w:b w:val="0"/>
          <w:sz w:val="21"/>
        </w:rPr>
        <w:t xml:space="preserve">非标资产情况</w:t>
      </w:r>
    </w:p>
    <w:p>
      <w:pPr>
        <w:ind w:firstLine="220" w:firstLineChars="100"/>
        <w:rPr>
          <w:rFonts w:ascii="楷体" w:eastAsia="楷体" w:hAnsi="楷体" w:cs="楷体"/>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spacing w:line="320" w:lineRule="exact"/>
        <w:ind w:firstLine="220" w:firstLineChars="100"/>
        <w:rPr>
          <w:rFonts w:ascii="楷体" w:eastAsia="楷体" w:hAnsi="楷体" w:cs="楷体"/>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rPr>
          <w:rFonts w:ascii="楷体" w:eastAsia="楷体" w:hAnsi="楷体" w:hint="eastAsia"/>
        </w:rPr>
      </w:pPr>
    </w:p>
    <w:p>
      <w:pPr>
        <w:rPr>
          <w:rFonts w:ascii="楷体" w:eastAsia="楷体" w:hAnsi="楷体"/>
          <w:sz w:val="21"/>
          <w:szCs w:val="21"/>
        </w:rPr>
      </w:pPr>
      <w:r>
        <w:rPr>
          <w:rFonts w:ascii="楷体" w:eastAsia="楷体" w:hAnsi="楷体" w:hint="eastAsia"/>
          <w:sz w:val="21"/>
          <w:szCs w:val="21"/>
        </w:rPr>
        <w:t xml:space="preserve">（四）期末理财产品前十名投资者持有情况</w:t>
      </w:r>
    </w:p>
    <w:tbl>
      <w:tblPr>
        <w:tblStyle w:val="TableGrid"/>
        <w:tblW w:w="863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611"/>
        <w:gridCol w:w="1815"/>
        <w:gridCol w:w="3510"/>
        <w:gridCol w:w="1695"/>
      </w:tblGrid>
      <w:tr>
        <w:tblPrEx>
          <w:tblW w:w="863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611"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1815"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投资者类别</w:t>
            </w:r>
          </w:p>
        </w:tc>
        <w:tc>
          <w:tcPr>
            <w:tcW w:w="3510"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期末持有份额</w:t>
            </w:r>
          </w:p>
        </w:tc>
        <w:tc>
          <w:tcPr>
            <w:tcW w:w="1695"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份额占比</w:t>
            </w:r>
          </w:p>
        </w:tc>
      </w:tr>
      <w:tr>
        <w:tblPrEx>
          <w:tblW w:w="863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611"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1815"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机构</w:t>
            </w:r>
          </w:p>
        </w:tc>
        <w:tc>
          <w:tcPr>
            <w:tcW w:w="3510"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2,209,205,847.22</w:t>
            </w:r>
          </w:p>
        </w:tc>
        <w:tc>
          <w:tcPr>
            <w:tcW w:w="1695" w:type="dxa"/>
          </w:tcPr>
          <w:p>
            <w:pPr>
              <w:pStyle w:val="标题4"/>
              <w:jc w:val="center"/>
              <w:rPr>
                <w:rFonts w:ascii="楷体" w:eastAsia="楷体" w:hAnsi="楷体" w:cs="楷体" w:hint="eastAsia"/>
                <w:sz w:val="22"/>
                <w:szCs w:val="22"/>
              </w:rPr>
            </w:pPr>
            <w:r>
              <w:rPr>
                <w:rFonts w:ascii="楷体" w:eastAsia="楷体" w:hAnsi="楷体" w:cs="楷体" w:hint="eastAsia"/>
                <w:sz w:val="22"/>
                <w:szCs w:val="22"/>
              </w:rPr>
              <w:t xml:space="preserve">15.53%</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机构</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1,000,024,926.76</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7.03%</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机构</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731,819,818.23</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5.14%</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机构</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707,084,598.28</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4.97%</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机构</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501,393,551.21</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3.52%</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机构</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200,839,199.95</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1.41%</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机构</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100,419,599.47</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机构</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0.70%</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机构</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75,084,705.61</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0.53%</w:t>
            </w:r>
          </w:p>
        </w:tc>
      </w:tr>
      <w:tr>
        <w:trPr>
          <w:trHeight w:val="0"/>
        </w:trPr>
        <w:tc>
          <w:tcPr>
            <w:tcW w:w="1611"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1815" w:type="dxa"/>
          </w:tcPr>
          <w:p>
            <w:pPr>
              <w:pageBreakBefore w:val="0"/>
              <w:jc w:val="center"/>
              <w:textAlignment w:val="auto"/>
            </w:pPr>
            <w:r>
              <w:rPr>
                <w:rFonts w:ascii="楷体" w:eastAsia="楷体" w:hAnsi="楷体" w:cs="楷体"/>
                <w:b w:val="0"/>
                <w:i w:val="0"/>
                <w:strike w:val="0"/>
                <w:color w:val="auto"/>
                <w:position w:val="-1"/>
                <w:sz w:val="22"/>
                <w:u w:val="none"/>
              </w:rPr>
              <w:t xml:space="preserve">机构</w:t>
            </w:r>
          </w:p>
        </w:tc>
        <w:tc>
          <w:tcPr>
            <w:tcW w:w="3510" w:type="dxa"/>
          </w:tcPr>
          <w:p>
            <w:pPr>
              <w:pageBreakBefore w:val="0"/>
              <w:jc w:val="center"/>
              <w:textAlignment w:val="auto"/>
            </w:pPr>
            <w:r>
              <w:rPr>
                <w:rFonts w:ascii="楷体" w:eastAsia="楷体" w:hAnsi="楷体" w:cs="楷体"/>
                <w:b w:val="0"/>
                <w:i w:val="0"/>
                <w:strike w:val="0"/>
                <w:color w:val="auto"/>
                <w:position w:val="-1"/>
                <w:sz w:val="22"/>
                <w:u w:val="none"/>
              </w:rPr>
              <w:t xml:space="preserve">35,005,169.79</w:t>
            </w:r>
          </w:p>
        </w:tc>
        <w:tc>
          <w:tcPr>
            <w:tcW w:w="1695" w:type="dxa"/>
          </w:tcPr>
          <w:p>
            <w:pPr>
              <w:pageBreakBefore w:val="0"/>
              <w:jc w:val="center"/>
              <w:textAlignment w:val="auto"/>
            </w:pPr>
            <w:r>
              <w:rPr>
                <w:rFonts w:ascii="楷体" w:eastAsia="楷体" w:hAnsi="楷体" w:cs="楷体"/>
                <w:b w:val="0"/>
                <w:i w:val="0"/>
                <w:strike w:val="0"/>
                <w:color w:val="auto"/>
                <w:position w:val="-1"/>
                <w:sz w:val="22"/>
                <w:u w:val="none"/>
              </w:rPr>
              <w:t xml:space="preserve">0.25%</w:t>
            </w:r>
          </w:p>
        </w:tc>
      </w:tr>
    </w:tbl>
    <w:p>
      <w:pPr>
        <w:pStyle w:val="标题4"/>
        <w:rPr>
          <w:rFonts w:ascii="楷体" w:hAnsi="楷体" w:cs="楷体"/>
        </w:rPr>
      </w:pPr>
    </w:p>
    <w:p>
      <w:pPr>
        <w:pStyle w:val="Heading3"/>
        <w:numPr>
          <w:ilvl w:val="0"/>
          <w:numId w:val="3"/>
        </w:numPr>
        <w:ind w:left="120" w:firstLine="0" w:leftChars="0" w:firstLineChars="0"/>
        <w:rPr>
          <w:rFonts w:ascii="楷体" w:hAnsi="楷体" w:cs="楷体" w:hint="eastAsia"/>
          <w:b w:val="0"/>
          <w:sz w:val="21"/>
        </w:rPr>
      </w:pPr>
      <w:r>
        <w:rPr>
          <w:rFonts w:ascii="楷体" w:hAnsi="楷体" w:cs="楷体" w:hint="eastAsia"/>
          <w:b w:val="0"/>
          <w:sz w:val="21"/>
        </w:rPr>
        <w:t xml:space="preserve">关联交易情况</w:t>
      </w:r>
    </w:p>
    <w:p>
      <w:pPr>
        <w:spacing w:line="320" w:lineRule="exact"/>
        <w:ind w:firstLine="220" w:firstLineChars="100"/>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rPr>
      </w:pPr>
    </w:p>
    <w:p>
      <w:pPr>
        <w:ind w:firstLine="220" w:firstLineChars="100"/>
        <w:rPr>
          <w:rFonts w:ascii="楷体" w:eastAsia="楷体" w:hAnsi="楷体" w:cs="楷体"/>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00"/>
        <w:gridCol w:w="2191"/>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江苏银行股份有限公司</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082580530.IB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25华发优生活6ABN002优先</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400,000.00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40,000,000.00</w:t>
            </w:r>
          </w:p>
        </w:tc>
      </w:tr>
    </w:tbl>
    <w:p>
      <w:pPr>
        <w:rPr>
          <w:rFonts w:ascii="楷体" w:eastAsia="楷体" w:hAnsi="楷体" w:cs="楷体"/>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金融工具名称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sz w:val="22"/>
          <w:szCs w:val="24"/>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15"/>
        <w:gridCol w:w="3540"/>
        <w:gridCol w:w="3166"/>
      </w:tblGrid>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316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2,355,486.06</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1,008,700,240.00</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35,864.90</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中信百信银行股份有限公司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4,103.10</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5,813,961.52</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7,060,452,835.20</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华泰证券(上海)资产管理有限公司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28,000,000.00</w:t>
            </w:r>
          </w:p>
        </w:tc>
      </w:tr>
    </w:tbl>
    <w:p>
      <w:pPr>
        <w:pStyle w:val="标题4"/>
        <w:rPr>
          <w:rFonts w:ascii="楷体" w:hAnsi="楷体" w:cs="楷体" w:hint="eastAsia"/>
          <w:sz w:val="21"/>
          <w:szCs w:val="21"/>
        </w:rPr>
      </w:pPr>
      <w:r>
        <w:rPr>
          <w:rFonts w:ascii="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1,086,352.54</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hAnsi="楷体" w:cs="楷体" w:hint="eastAsia"/>
          <w:sz w:val="21"/>
          <w:szCs w:val="21"/>
        </w:rPr>
      </w:pPr>
    </w:p>
    <w:p>
      <w:pPr>
        <w:rPr>
          <w:rFonts w:ascii="楷体" w:eastAsia="楷体" w:hAnsi="楷体" w:cs="楷体"/>
          <w:sz w:val="22"/>
          <w:szCs w:val="24"/>
        </w:rPr>
      </w:pPr>
      <w:r>
        <w:rPr>
          <w:rFonts w:ascii="楷体" w:eastAsia="楷体" w:hAnsi="楷体" w:cs="楷体" w:hint="eastAsia"/>
          <w:sz w:val="22"/>
          <w:szCs w:val="24"/>
        </w:rPr>
        <w:t xml:space="preserve">（</w:t>
      </w:r>
      <w:r>
        <w:rPr>
          <w:rFonts w:ascii="楷体" w:eastAsia="楷体" w:hAnsi="楷体" w:cs="楷体" w:hint="eastAsia"/>
          <w:sz w:val="22"/>
          <w:szCs w:val="24"/>
          <w:lang w:eastAsia="zh-CN"/>
        </w:rPr>
        <w:t xml:space="preserve">六</w:t>
      </w:r>
      <w:r>
        <w:rPr>
          <w:rFonts w:ascii="楷体" w:eastAsia="楷体" w:hAnsi="楷体" w:cs="楷体" w:hint="eastAsia"/>
          <w:sz w:val="22"/>
          <w:szCs w:val="24"/>
        </w:rPr>
        <w:t xml:space="preserve">）自有资金投资情况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ind w:firstLine="420" w:firstLineChars="200"/>
        <w:rPr>
          <w:rFonts w:ascii="楷体" w:eastAsia="楷体" w:hAnsi="楷体" w:cs="楷体"/>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bCs/>
          <w:kern w:val="0"/>
          <w:szCs w:val="21"/>
        </w:rPr>
      </w:pPr>
    </w:p>
    <w:p>
      <w:pPr>
        <w:rPr>
          <w:rFonts w:ascii="楷体" w:eastAsia="楷体" w:hAnsi="楷体" w:cs="楷体"/>
          <w:sz w:val="22"/>
          <w:szCs w:val="24"/>
        </w:rPr>
      </w:pPr>
      <w:r>
        <w:rPr>
          <w:rFonts w:ascii="楷体" w:eastAsia="楷体" w:hAnsi="楷体" w:cs="楷体" w:hint="eastAsia"/>
          <w:sz w:val="22"/>
          <w:szCs w:val="24"/>
        </w:rPr>
        <w:t xml:space="preserve">（</w:t>
      </w:r>
      <w:r>
        <w:rPr>
          <w:rFonts w:ascii="楷体" w:eastAsia="楷体" w:hAnsi="楷体" w:cs="楷体" w:hint="eastAsia"/>
          <w:sz w:val="22"/>
          <w:szCs w:val="24"/>
          <w:lang w:eastAsia="zh-CN"/>
        </w:rPr>
        <w:t xml:space="preserve">七</w:t>
      </w:r>
      <w:r>
        <w:rPr>
          <w:rFonts w:ascii="楷体" w:eastAsia="楷体" w:hAnsi="楷体" w:cs="楷体" w:hint="eastAsia"/>
          <w:sz w:val="22"/>
          <w:szCs w:val="24"/>
        </w:rPr>
        <w:t xml:space="preserve">）理财产品份额变动情况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14,228,292,912.51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13,555,485,453.45</w:t>
            </w:r>
          </w:p>
        </w:tc>
      </w:tr>
    </w:tbl>
    <w:p>
      <w:pPr>
        <w:pStyle w:val="Heading3"/>
        <w:ind w:left="0" w:firstLine="0" w:leftChars="0" w:firstLineChars="0"/>
        <w:rPr>
          <w:rFonts w:ascii="楷体" w:hAnsi="楷体" w:cs="楷体"/>
        </w:rPr>
      </w:pPr>
    </w:p>
    <w:p>
      <w:pPr>
        <w:pStyle w:val="Heading3"/>
        <w:rPr>
          <w:rFonts w:ascii="楷体" w:hAnsi="楷体" w:cs="楷体"/>
        </w:rPr>
      </w:pPr>
      <w:r>
        <w:rPr>
          <w:rFonts w:ascii="楷体" w:hAnsi="楷体" w:cs="楷体" w:hint="eastAsia"/>
        </w:rPr>
        <w:t xml:space="preserve">四</w:t>
      </w:r>
      <w:r>
        <w:rPr>
          <w:rFonts w:ascii="楷体" w:hAnsi="楷体" w:cs="楷体" w:hint="eastAsia"/>
          <w:lang w:eastAsia="zh-CN"/>
        </w:rPr>
        <w:t xml:space="preserve">、</w:t>
      </w:r>
      <w:r>
        <w:rPr>
          <w:rFonts w:ascii="楷体" w:hAnsi="楷体" w:cs="楷体" w:hint="eastAsia"/>
        </w:rPr>
        <w:t xml:space="preserve">投资运作情况</w:t>
      </w:r>
    </w:p>
    <w:p>
      <w:pPr>
        <w:pStyle w:val="Heading3"/>
        <w:rPr>
          <w:rFonts w:ascii="楷体" w:hAnsi="楷体" w:cs="楷体"/>
          <w:b w:val="0"/>
          <w:sz w:val="21"/>
        </w:rPr>
      </w:pPr>
      <w:r>
        <w:rPr>
          <w:rFonts w:ascii="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spacing w:val="8"/>
          <w:sz w:val="21"/>
        </w:rPr>
      </w:pPr>
      <w:r>
        <w:rPr>
          <w:rFonts w:ascii="楷体" w:eastAsia="楷体" w:hAnsi="楷体" w:cs="楷体" w:hint="eastAsia"/>
          <w:spacing w:val="8"/>
          <w:sz w:val="21"/>
        </w:rPr>
        <w:t xml:space="preserve">　　2025年在党中央的坚强领导下，面对复杂严峻的国内外形势和诸多风险挑战，各地区各部门深入贯彻党中央、国务院的决策部署，坚持稳中求进工作总基调，宏观稳经济政策协同发力、精准施策，经济运行总体平稳、稳中有进，高质量发展取得新成效，全年经济社会发展主要目标顺利实现。</w:t>
      </w:r>
      <w:r>
        <w:rPr>
          <w:rFonts w:ascii="楷体" w:eastAsia="楷体" w:hAnsi="楷体" w:cs="楷体" w:hint="eastAsia"/>
          <w:spacing w:val="8"/>
          <w:sz w:val="21"/>
        </w:rPr>
        <w:br/>
      </w:r>
      <w:r>
        <w:rPr>
          <w:rFonts w:ascii="楷体" w:eastAsia="楷体" w:hAnsi="楷体" w:cs="楷体" w:hint="eastAsia"/>
          <w:spacing w:val="8"/>
          <w:sz w:val="21"/>
        </w:rPr>
        <w:t xml:space="preserve">　　从经济基本面看，2025年中国经济展现出强大韧性和巨大潜力，全年实际GDP同比增长5.0%，符合年初预期目标。分季度看，经济呈现"前高后低"走势，一季度GDP同比增长5.4%超预期开局，二季度增长5.2%保持稳健，三季度增长4.8%有所回落，四季度增速继续放缓但仍维持合理区间。全年全国固定资产投资（不含农户）约48.5万亿元，社会消费品零售总额约50.1万亿元，进出口总额约45.5万亿元，工业增加值保持稳定增长。投资端受房地产开发投资持续回落拖累表现偏弱，消费端在以旧换新等政策提振下逐步改善，出口在外部关税扰动下保持韧性。物价水平全年低位运行，内需不足仍是主要挑战，但产业结构持续优化，高质量发展扎实推进。</w:t>
      </w:r>
      <w:r>
        <w:rPr>
          <w:rFonts w:ascii="楷体" w:eastAsia="楷体" w:hAnsi="楷体" w:cs="楷体" w:hint="eastAsia"/>
          <w:spacing w:val="8"/>
          <w:sz w:val="21"/>
        </w:rPr>
        <w:br/>
      </w:r>
      <w:r>
        <w:rPr>
          <w:rFonts w:ascii="楷体" w:eastAsia="楷体" w:hAnsi="楷体" w:cs="楷体" w:hint="eastAsia"/>
          <w:spacing w:val="8"/>
          <w:sz w:val="21"/>
        </w:rPr>
        <w:t xml:space="preserve">　　债券市场方面，2025年债市整体呈现"先上后下、震荡走弱"的特征，收益率中枢较年初明显上移，期限利差走阔。一季度债市经历剧烈调整，10年期国债收益率从年初1.6%附近快速上行至1.90%后回落至1.81%；二季度在资金面宽松、外部关税扰动及配置力量推动下，债市震荡下行，表现好于一季度；三季度债市震荡走弱，走出"熊陡"行情，10年期国债收益率由季初1.65%一度上行至1.83%；四季度债市弱势震荡，一致预期强化，十年国债利率一度触及1.85%高点。全年来看，央行货币政策在"稳汇率、防风险、促增长"之间灵活平衡，流动性管理前紧后松，MLF操作由收缩转为净投放，公开市场国债买卖重启，资金利率整体保持平稳。外部关税博弈、股债跷跷板效应、机构配置行为及供给冲击成为全年影响债市的重要变量。</w:t>
      </w:r>
      <w:r>
        <w:rPr>
          <w:rFonts w:ascii="楷体" w:eastAsia="楷体" w:hAnsi="楷体" w:cs="楷体" w:hint="eastAsia"/>
          <w:spacing w:val="8"/>
          <w:sz w:val="21"/>
        </w:rPr>
        <w:br/>
      </w:r>
      <w:r>
        <w:rPr>
          <w:rFonts w:ascii="楷体" w:eastAsia="楷体" w:hAnsi="楷体" w:cs="楷体" w:hint="eastAsia"/>
          <w:spacing w:val="8"/>
          <w:sz w:val="21"/>
        </w:rPr>
        <w:t xml:space="preserve">　　报告期内，管理人严格遵循监管要求，持续加强对现金管理类产品的信用风险、久期风险、集中度风险和流动性风险的全面管控。全年资产配置策略以稳健为基调，主要集中于银行存款、回购、同业存单、利率债及证券公司债等低风险资产，结合适度的杠杆运用和梯形策略，确保在不同资产类别和期限之间实现合理均衡。一季度在利率偏高区间加大配置，储备高收益长期存款类资产；二季度至四季度根据市场流动性环境和负债端情况灵活调整，季末适时提高高价存款和回购配置比例，控制资产稀释速度，择机配置高收益资产支持证券和资管计划。通过积极的杠杆策略和交易策略，管理人在复杂市场环境下成功获取超额收益，有效提升产品静态收益，为投资者提供了相对稳定的回报，确保了现金管理类产品全年稳健运行，帮助投资者应对市场不确定性，实现了安全性、流动性和收益性的平衡。</w:t>
      </w:r>
    </w:p>
    <w:p>
      <w:pPr>
        <w:pStyle w:val="BodyText"/>
        <w:spacing w:before="43" w:line="275" w:lineRule="auto"/>
        <w:ind w:right="1799" w:firstLine="226" w:firstLineChars="100"/>
        <w:rPr>
          <w:rFonts w:ascii="楷体" w:eastAsia="楷体" w:hAnsi="楷体" w:cs="楷体"/>
          <w:spacing w:val="8"/>
          <w:sz w:val="21"/>
        </w:rPr>
      </w:pPr>
    </w:p>
    <w:p>
      <w:pPr>
        <w:pStyle w:val="Heading3"/>
        <w:rPr>
          <w:rFonts w:ascii="楷体" w:hAnsi="楷体" w:cs="楷体"/>
          <w:b w:val="0"/>
          <w:sz w:val="21"/>
        </w:rPr>
      </w:pPr>
      <w:r>
        <w:rPr>
          <w:rFonts w:ascii="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sz w:val="21"/>
        </w:rPr>
      </w:pPr>
      <w:r>
        <w:rPr>
          <w:rFonts w:ascii="楷体" w:eastAsia="楷体" w:hAnsi="楷体" w:cs="楷体" w:hint="eastAsia"/>
          <w:spacing w:val="9"/>
          <w:sz w:val="21"/>
        </w:rPr>
        <w:t xml:space="preserve">　　展望2026年一季度，政策前置发力的预期较高，通胀回升将修复名义GDP，外部环境短暂缓和，对债市偏利空。货币政策预计将维持适度宽松，但降准降息等总量工具的使用将更为审慎，结构性工具为主导。风险偏好上，2025年12月下旬以来“春季行情”的预期持续升温，市场情绪高涨，今年一季度股市预计将延续偏强走势，对债市形成压制。整体来看，债市一季度预计延续偏弱运行，趋势性行情仍需等待更明确的宏观信号，配置上一季度重在防御，择机适当布局。</w:t>
      </w:r>
      <w:r>
        <w:rPr>
          <w:rFonts w:ascii="楷体" w:eastAsia="楷体" w:hAnsi="楷体" w:cs="楷体" w:hint="eastAsia"/>
          <w:spacing w:val="9"/>
          <w:sz w:val="21"/>
        </w:rPr>
        <w:br/>
      </w:r>
      <w:r>
        <w:rPr>
          <w:rFonts w:ascii="楷体" w:eastAsia="楷体" w:hAnsi="楷体" w:cs="楷体" w:hint="eastAsia"/>
          <w:spacing w:val="9"/>
          <w:sz w:val="21"/>
        </w:rPr>
        <w:t xml:space="preserve">　　后续，本产品管理人将继续依托国内外宏观和微观深入研究分析，采取扎实稳健的投资策略，继续严格遵照资管系列新规要求，聚焦高等级的各类标准化债权资产和高流动性的银行间与沪深交易所标的进行投资，在满足投资者流动性需求的同时，努力争取较好的组合管理收益。</w:t>
      </w:r>
    </w:p>
    <w:p>
      <w:pPr>
        <w:ind w:firstLine="420" w:firstLineChars="200"/>
        <w:rPr>
          <w:rFonts w:ascii="楷体" w:eastAsia="楷体" w:hAnsi="楷体" w:cs="楷体"/>
          <w:bCs/>
          <w:kern w:val="0"/>
          <w:szCs w:val="21"/>
        </w:rPr>
      </w:pPr>
    </w:p>
    <w:p>
      <w:pPr>
        <w:pStyle w:val="Heading3"/>
        <w:rPr>
          <w:rFonts w:ascii="楷体" w:hAnsi="楷体" w:cs="楷体"/>
          <w:b w:val="0"/>
          <w:sz w:val="21"/>
        </w:rPr>
      </w:pPr>
      <w:r>
        <w:rPr>
          <w:rFonts w:ascii="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pacing w:val="9"/>
          <w:sz w:val="21"/>
        </w:rPr>
      </w:pPr>
      <w:r>
        <w:rPr>
          <w:rFonts w:ascii="楷体" w:eastAsia="楷体" w:hAnsi="楷体" w:cs="楷体" w:hint="eastAsia"/>
          <w:spacing w:val="9"/>
          <w:sz w:val="21"/>
        </w:rPr>
        <w:t xml:space="preserve">　　2025年，市场流动性整体宽松，本产品在投资高流动性的利率债和AAA存单以外，动态调整产品杠杆率，充分做好资金准备，平稳度过各关键时点，充分满足了产品的流动性需求，保障了投资者的赎回需求。</w:t>
      </w:r>
      <w:r>
        <w:rPr>
          <w:rFonts w:ascii="楷体" w:eastAsia="楷体" w:hAnsi="楷体" w:cs="楷体" w:hint="eastAsia"/>
          <w:spacing w:val="9"/>
          <w:sz w:val="21"/>
        </w:rPr>
        <w:br/>
      </w:r>
      <w:r>
        <w:rPr>
          <w:rFonts w:ascii="楷体" w:eastAsia="楷体" w:hAnsi="楷体" w:cs="楷体" w:hint="eastAsia"/>
          <w:spacing w:val="9"/>
          <w:sz w:val="21"/>
        </w:rPr>
        <w:t xml:space="preserve">　　展望后市，本产品将继续重点投资信用等级较高、流动性较好的各类标的，做好资金安排和流动性预判，充分满足产品流动性需求。</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ind w:firstLine="420" w:firstLineChars="200"/>
        <w:rPr>
          <w:rFonts w:ascii="楷体" w:eastAsia="楷体" w:hAnsi="楷体" w:hint="eastAsia"/>
          <w:bCs/>
          <w:kern w:val="0"/>
          <w:szCs w:val="21"/>
        </w:rPr>
      </w:pPr>
      <w:bookmarkStart w:id="1" w:name="_GoBack"/>
      <w:bookmarkEnd w:id="1"/>
    </w:p>
    <w:p>
      <w:pPr>
        <w:jc w:val="right"/>
        <w:rPr>
          <w:rFonts w:ascii="楷体" w:eastAsia="楷体" w:hAnsi="楷体" w:cs="楷体"/>
          <w:b/>
          <w:bCs/>
          <w:sz w:val="21"/>
          <w:szCs w:val="21"/>
        </w:rPr>
      </w:pPr>
      <w:r>
        <w:rPr>
          <w:rFonts w:ascii="楷体" w:eastAsia="楷体" w:hAnsi="楷体" w:cs="楷体" w:hint="eastAsia"/>
          <w:b/>
          <w:bCs/>
          <w:sz w:val="21"/>
          <w:szCs w:val="21"/>
        </w:rPr>
        <w:t xml:space="preserve">苏银理财有限责任公司</w:t>
      </w:r>
    </w:p>
    <w:p>
      <w:pPr>
        <w:jc w:val="right"/>
        <w:rPr>
          <w:rFonts w:ascii="楷体" w:eastAsia="楷体" w:hAnsi="楷体" w:cs="楷体"/>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08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08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08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09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90"/>
  <w:bordersDoNotSurroundFooter/>
  <w:bordersDoNotSurroundHeader/>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2026-03-23T02:30:27Z</dcterms:modified>
  <cp:revision>29</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446</Words>
  <Characters>2544</Characters>
  <Lines>21</Lines>
  <Paragraphs>5</Paragraphs>
  <TotalTime>0</TotalTime>
  <ScaleCrop>false</ScaleCrop>
  <LinksUpToDate>false</LinksUpToDate>
  <CharactersWithSpaces>2985</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100"/>
    <customShpInfo spid="_x0000_s4097"/>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446</Words>
  <Characters>2544</Characters>
  <Application>WPS Office_11.8.2.11734_F1E327BC-269C-435d-A152-05C5408002CA</Application>
  <DocSecurity>0</DocSecurity>
  <Lines>21</Lines>
  <Paragraphs>5</Paragraphs>
  <Company>WORKGROUP</Company>
  <CharactersWithSpaces>2985</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29</cp:revision>
  <dcterms:created xsi:type="dcterms:W3CDTF">2021-11-18T10:04:00Z</dcterms:created>
  <dcterms:modified xsi:type="dcterms:W3CDTF">2026-04-13T08:13:52Z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