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苏银理财恒源月开放2号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苏银理财恒源月开放2号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苏银理财恒源月开放2号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10,220,889,986.28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13,921,457,944.92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31000188000328771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13,926,230,767.91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1.362354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1.362354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1.360442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1.360442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苏银理财恒源月开放2号A4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1.362339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1.363540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1.363540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苏银理财恒源月开放2号C4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1.362666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1.362666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1.364015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1.364015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1.370615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1.370615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1.363938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1.363938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苏银理财恒源月开放2号E4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1.364072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1.364072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1.362355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1.362355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苏银理财恒源月开放2号F4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1.362411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1.362411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1.360657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1.360657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1.361376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1.361376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苏银理财恒源月开放2号G4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1.360524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1.362752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1.362752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1.363152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1.363152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1.362710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1.362710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苏银理财恒源月开放2号H4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1.362704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1.362421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1.362421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1.360442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1.360442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苏银理财恒源月开放2号J4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1.362339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1.362072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苏银理财恒源月开放2号W4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1.361918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1.361918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苏银理财恒源月开放2号（代发专享1）</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1.362707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1.362707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1.361567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1.361567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苏银理财恒源月开放2号（代发专享3）</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苏银理财恒源月开放2号（代发专享4）</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1.362631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1.362631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51.66%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月开放2号农行CFETS存款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704,214,000.43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672,802,745.92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631,631,892.18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399,536,127.06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352,421,941.76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260,354,809.28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231,108,699.33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25交通银行CD159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215,729,481.55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24洋旅02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208,944,986.30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19农发08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205,548,208.22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1,082,783,156.00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1,327,827,395.00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555,460,118.51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168,724.36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3,890.60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1,083,422.60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3,332,436.85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800,999,300.00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11,577,967.92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642,665,080.13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1,618,179,229.37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475.39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511.41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10,220,889,986.28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11,928,287,882.99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精选信用、适度杠杆的基础上，保持相对较好的抗波动能力和资产收益水平。同时，加强市场研判，抓取确定性较高的市场机会，适度配置流动性好的交易性品种，获取市场红利以增厚产品收益。根据市场动态变化，控制组合久期处于合理区间。资产配置上兼顾安全性、流动性和收益性，坚守风险合规底线。</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下阶段，我司针对产品特性，对信用风险、市场风险、流动性风险进行充分管理。在债券市场扰动因素逐渐增多背景下，努力维持产品收益处于合理水平，致力于为广大投资者创造长期稳健的收益回报。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本产品主要配置优质标准化债权类资产，变现能力较强，通过资负久期管理、杠杆规模管理、流动性指标监测等多项措施持续加强流动性管理，有效控制产品的流动性风险。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2026-04-21T11:11:38Z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