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14,228,292,912.51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14,228,292,912.51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31000188000543259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14,229,851,146.71</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2025-12-31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0.4594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苏银理财启源现金6号I</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苏银理财启源现金6号（芙蓉锦程·优选）</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71.02%</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28.98%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71.02%</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28.98%</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1,050,415,995.69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7.33%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355,444,979.55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294,939,702.47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203,620,140.99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25国元证券CP013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200,688,602.74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银行存款20251201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200,287,611.18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25北京银行CD095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198,436,445.71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25光大银行CD138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198,200,756.04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25徽商银行CD153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198,007,275.57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25北京银行CD161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197,372,907.40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717,265.51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4,103.10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1,436,500,941.00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300,000,240.00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2,105,996.44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21,065.60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206,379.02</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14,228,292,912.51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13,555,485,453.45</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四季度，面对复杂的国内外环境与三季度以来的增长压力，宏观政策导向自“反内卷”适时转向内需支撑，财政与货币政策协同发力，巩固了经济回升向好基础，确保全年经济社会发展目标顺利实现。经济运行稳中趋缓，债券市场则在政策调整与预期博弈中经历结构调整。</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四季度经济运行稳中趋缓，但仍展现出较强韧性。四季度内需仍然较弱，物价仍在低位运行，出口增速保持韧性，人民币汇率呈升值趋势，市场流动性保持宽松，但财政支出力度有所减弱，财政支出力度前高后低是导致四季度经济增速放缓的主因之一。整体来看，2025年四季度经济增速或继续放缓，全年经济增速前高后低，仍有望实现5%的增速。债券市场方面，四季度一致预期强化，债市弱势震荡。10月关税扰动再起，二十届四中全会和十五五规划出台，央行重启公开市场国债买卖，市场对货币宽松预期进一步升温，是10月债市下行的主要推动。11月，央行买债规模不及预期，叠加市场担忧公募基金销售新规落地，利率小幅上行。三季度货币政策执行报告重提跨周期调节，公募销售新规扰动不断，万科公告债务展期，债市情绪偏谨慎。进入12月，经济基本面持续承压，债市供求也进入季节性有利阶段，但利率延续上行。赎回扰动不断出现，市场对明年超长债供给有一定担忧，叠加银行相关指标承压，30-10年国债利差走扩，十年国债利率也一度触及1.85%高点。</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三季度市场利率的上行，管理人积极调整投资策略，维持一二级信用债配置力度，确保产品久期稳定。另一方面，产品利用自身资产配置情况，适时增加产品杠杆，较大幅度提高了高收益资管计划投资比例，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2025年四季度，市场流动性整体宽松，本产品在投资高流动性的利率债和AAA存单以外，动态调整产品杠杆率，充分做好资金准备，平稳度过各关键时点，充分满足了产品的流动性需求，保障了投资者的赎回需求。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2026-01-21T08:45:10Z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