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南银理财鼎瑞悦稳（最低持有14天）公募人民币理财产品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南银理财鼎瑞悦稳（最低持有14天）公募人民币理财产品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Z7003223000182（投资者可依据该编码在中国理财网www.chinawealth.com.cn查询理财产品相关信息）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5,196,765,689.05份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华商基金管理有限公司,华泰资产管理有限公司,华鑫证券有限责任公司,国投泰康信托有限公司,广发基金管理有限公司,紫金信托有限责任公司,陆家嘴国际信托有限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2,703,609,312.27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1.058770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1.058770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12,688,543.15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1.063186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1.063186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2,783,074,170.79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1.057998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1.057998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829,350.61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1.054142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1.054142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债券收益率窄幅波动，十年国债到期收益率先下后上从1.86%微幅下行至1.85%。</w:t>
        <w:br w:type="textWrapping" w:clear="all"/>
      </w:r>
      <w:r>
        <w:rPr>
          <w:rFonts w:hint="eastAsia" w:ascii="方正仿宋简体" w:eastAsia="方正仿宋简体"/>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波动带来的资产配置窗口。</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截至报告期末，本产品A32014份额净值为1.058770元，A32015份额净值为1.063186元，A32016份额净值为1.057998元，A32028份额净值为1.054142元。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98.39%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1.61%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1,168,468,622.83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ZJQTT202510310001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华商基金聚睿优选集合资产管理计划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305,370,176.29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283,288,644.49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210,677,213.83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北京银行定期存款202506013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165,039,470.83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032480303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24崇德投资PPN001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151,698,150.00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广发银行定期存款20250818A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DQCKX202504030006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中国银行定期存款20250403C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0101080000000712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南京银行南京分行南银理财鼎瑞悦稳最低持有14天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产品投资关联方作为管理人的资产管理产品交易金额1,110,000,000.00元。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产品支付关联方托管费268,791.86元，支付关联方代销费2,095,981.38元。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