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南银理财珠联璧合安稳1904一年定开公募人民币理财产品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南银理财珠联璧合安稳1904一年定开公募人民币理财产品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9,673,358,374.40份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天弘基金管理有限公司,广东粤财信托有限公司,招商基金管理有限公司,百瑞信托有限责任公司,鑫元基金管理有限公司,鑫沅资产管理有限公司,易方达基金管理有限公司,兴宝国际信托有限责任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4,158,668,596.45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854,785,418.89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306,984,127.36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379,097,408.58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230,139,601.42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1,060,551,101.78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359,762,403.04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241,613,418.92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251,173,983.70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211,045,971.11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176,443,785.20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165,467,985.48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59,133,974.98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61,633,599.00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47,992,250.60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111,651,209.49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33,476,244.76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63,795,565.60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22,528,772.27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27,161,606.91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198,438,941.17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101,104,537.77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152,336,195.73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201,967,241.75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303,519,255.52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10025份额净值为1.0115元，Z11025份额净值为1.0107元，Z12025份额净值为1.0102元，Z13025份额净值为1.0095元，ZB10025份额净值为1.0116元，ZB11025份额净值为1.0107元，ZB12025份额净值为1.0102元，ZB13025份额净值为1.0095元，ZC10025份额净值为1.0119元，ZC11025份额净值为1.0110元，ZC12025份额净值为1.0105元，ZC13025份额净值为1.0098元，ZD10025份额净值为1.0121元，ZD11025份额净值为1.0112元，ZD12025份额净值为1.0106元，ZD13025份额净值为1.0099元，ZE10025份额净值为1.0125元，ZE11025份额净值为1.0115元，ZE12025份额净值为1.0110元，ZE13025份额净值为1.0102元，ZF10025份额净值为1.0119元，ZF11025份额净值为1.0110元，ZF12025份额净值为1.0105元，ZF13025份额净值为1.0098元，ZH11025份额净值为1.0117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95.16%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4.84%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2,100,951,266.64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1,432,093,210.16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XTDKX202506260022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290,327,726.10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283,345,794.87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XTDKX202507030006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270,207,967.50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250,265,505.00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215,792,786.92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200,297,834.00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200,182,238.00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192,323,344.70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兴宝信托-欣晟共赢3号资产管理信托第1-B期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兴宝信托-欣晟共赢1号新农村发展资产管理信托（第1-C期）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中国信达资产管理股份有限公司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同业借款（信达资产）20250002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0120000000000272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南京银行安稳1904一年定开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产品投资于关联方承销的证券交易金额580,670,796.31元。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产品支付关联方托管费480,087.21元，支付关联方代销费2,133,094.33元。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