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南银理财珠联璧合鑫悦享1912三个月定开公募人民币理财产品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南银理财珠联璧合鑫悦享1912三个月定开公募人民币理财产品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Z7003220000011（投资者可依据该编码在中国理财网www.chinawealth.com.cn查询理财产品相关信息）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2019年12月18日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1,981,631,377.11份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中粮信托有限责任公司,华泰资产管理有限公司,紫金信托有限责任公司,鑫沅资产管理有限公司,陆家嘴国际信托有限公司,太平洋资产管理有限责任公司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2,199,078,296.67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46,980,423.02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14,806,615.06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1.1374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截至报告期末，本产品Z40004份额净值为1.1409元，Z41004份额净值为1.1412元，Z42004份额净值为1.1374元。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520,376,004.00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193,909,783.58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160,669,057.10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119,304,734.87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DQCKX202509220021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上海银行定期存款20250922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北京银行定期存款20250616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112514084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25江苏银行CD084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98,733,100.00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112503008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25农业银行CD008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98,378,600.00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112503084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25农业银行CD084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98,178,400.00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112598681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25宁波通商银行CD080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78,988,480.00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0120040000000350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南京银行鑫悦享1912三个月定开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产品投资于关联方承销的证券交易金额42,125,205.48元。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产品支付关联方托管费125,919.89元，支付关联方代销费1,227,088.54元。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