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南银理财珠联璧合鑫悦享1908三个月定开公募人民币理财产品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南银理财珠联璧合鑫悦享1908三个月定开公募人民币理财产品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Z7003220000007（投资者可依据该编码在中国理财网www.chinawealth.com.cn查询理财产品相关信息）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2019年08月22日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2,644,938,596.74份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紫金信托有限责任公司,鑫沅资产管理有限公司,陆家嘴国际信托有限公司,长江养老保险股份有限公司,太平洋资产管理有限责任公司,光大永明资产管理股份有限公司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2,856,235,409.61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113,373,303.03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Z42001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50,148,739.45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1.1451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截至报告期末，本产品Z40001份额净值为1.1416元，Z41001份额净值为1.1419元，Z42001份额净值为1.1451元。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94.96%</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5.04%</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327,228,788.64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283,570,614.16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250,087,766.24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DQCKX202505120002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中国银行定期存款20250512A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254215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24浙太02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北京银行定期存款20250616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112521154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25渤海银行CD154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99,139,100.00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112521201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25渤海银行CD201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98,749,400.00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112503154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25农业银行CD154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98,373,500.00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112503166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25农业银行CD166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98,363,800.00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0120000000000314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南京银行鑫悦享1908三个月定开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产品投资关联方作为管理人的资产管理产品交易金额494,000,000.00元。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产品支付关联方托管费172,369.97元，支付关联方代销费1,504,392.89元。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