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南银理财珠联璧合安稳1903一年定开公募人民币理财产品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南银理财珠联璧合安稳1903一年定开公募人民币理财产品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2019年03月06日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7,428,913,357.76份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天弘基金管理有限公司,广东粤财信托有限公司,招商基金管理有限公司,百瑞信托有限责任公司,鑫元基金管理有限公司,易方达基金管理有限公司,陆家嘴国际信托有限公司,兴宝国际信托有限责任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4,084,123,391.85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246,985,525.24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928,960,451.85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222,128,433.27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179,919,265.52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493,110,100.08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261,306,551.23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163,813,328.43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250,625,678.70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1,437,139.59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16,170,593.76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34,059,811.18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53,049,408.30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23,187,835.56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32,631,712.51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202,340,612.09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86,976,845.76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202,071,109.22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28,675,834.89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10024份额净值为1.0114元，Z11024份额净值为1.0108元，Z12024份额净值为1.0101元，ZB10024份额净值为1.0114元，ZB11024份额净值为1.0108元，ZB12024份额净值为1.0101元，ZC10024份额净值为1.0117元，ZC11024份额净值为1.0110元，ZC12024份额净值为1.0103元，ZD10024份额净值为1.0119元，ZD11024份额净值为1.0112元，ZD12024份额净值为1.0105元，ZE10024份额净值为1.0123元，ZE11024份额净值为1.0116元，ZE12024份额净值为1.0109元，ZF10024份额净值为1.0117元，ZF11024份额净值为1.0110元，ZF12024份额净值为1.0103元，ZG11024份额净值为1.0112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94.41%</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5.59%</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1,327,657,502.70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ZJQTT202507100001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792,938,862.46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501,477,065.00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XTDKX202505300005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400,622,300.00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400,560,840.00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XTDKX202505070002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200,367,016.00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200,310,126.00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150,312,201.00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兴宝信托-欣晟共赢1号新农村发展资产管理信托（第1-B期）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150,278,779.50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150,262,174.50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泰州市凯明城市建设有限公司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中信信托·兴邦99号固定收益类信托计划（第1期）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中信信托·兴邦98号固定收益类信托计划（第1期）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盱眙国有联合资产经营集团有限公司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兴宝信托-欣晟共赢1号新农村发展资产管理信托（第1-B期）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0120070000000259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南京银行安稳1903一年定开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产品投资于关联方承销的证券交易金额120,265,396.72元。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产品支付关联方托管费377,332.01元，支付关联方代销费2,205,250.79元。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