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南银理财珠联璧合行稳1902半年定开公募人民币理财产品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南银理财珠联璧合行稳1902半年定开公募人民币理财产品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Z7003221000030（投资者可依据该编码在中国理财网www.chinawealth.com.cn查询理财产品相关信息）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2019年02月27日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1,402,343,207.94份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Z10023</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1,416,248,598.45</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1.2645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Z10023</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积极参与超调的中短久期信用债，提升高流动性资产占比，控制市值仓位和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截至报告期末，本产品份额净值为1.0099元。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92.63%</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7.37%</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012580168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25中国医疗SCP001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119,998,680.00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2028052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20恒丰银行永续债</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100,464,200.00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XJCKX202302280001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工商银行南分活期存款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85,531,288.07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032380558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23奉化投资PPN001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50,515,700.00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256089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24世纪02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50,344,950.00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042580208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25高淳建设CP005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50,001,100.00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133661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23武进05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40,853,400.00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133657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23城铁债</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40,734,200.00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032380391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23汉盛建设PPN001(项目收益)</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40,464,440.00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102484701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24盐城城投MTN003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40,411,840.00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0120030000000256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南京银行行稳1902半年定开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产品投资关联方作为管理人的资产管理产品交易金额51,000,000.00元。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产品支付关联方托管费71,317.51元，支付关联方代销费657,418.06元。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2025年09月30日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