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南银理财鼎瑞悦稳（最低持有7天）2号公募人民币理财产品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南银理财鼎瑞悦稳（最低持有7天）2号公募人民币理财产品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Z7003224000019（投资者可依据该编码在中国理财网www.chinawealth.com.cn查询理财产品相关信息）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2024年01月11日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2,651,610,579.57份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中粮信托有限责任公司,华泰资产管理有限公司,国投泰康信托有限公司,紫金信托有限责任公司,陆家嘴国际信托有限公司,建信保险资产管理有限公司,泰康资产管理有限责任公司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A32017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805,601,490.08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1.043460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1.043460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A32018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1,045,430.80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1.045430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1.045430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A32019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664,685,413.97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1.042563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1.042563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1,257,396,716.74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1.040912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1.040912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26,403,925.77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1.039175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1.039175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7,957,405.06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1.042898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1.042898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7月雅江水电站项目开工，市场开始围绕“反内卷”开展交易，通缩逻辑动摇，权益及商品市场大涨；债市则在缺乏新的驱动力量的情况下，受股债跷跷板的影响行情走弱；公募基金受“费率新规”的影响负债端出现脉冲式赎回。央行连续超额续作MLF及买断式逆回购，重启14天逆回购，持续呵护货币市场，资金利率维持平稳。债市曲线走陡，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来自于财政提前发力和抢出口的影响，但是需求端依然较为疲软，地产继续探底，政策对于地产托而不举，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控制回撤。基于对后市的判断，产品将灵活调整杠杆与久期，实现产品净值在合理区间内保持相对稳定；同时加强市场与品种研判，在控制好风险的前提下博取超额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  本产品持仓中维持合理比例高流动性资产，杠杆处于合理水平，流动性状况较好。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截至报告期末，本产品A32017份额净值为1.043460元，A32018份额净值为1.045430元，A32019份额净值为1.042563元，A32024份额净值为1.040912元，A32025份额净值为1.039175元，A32026份额净值为1.042898元。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98.76%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ZJQTT202410090002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陆家嘴信托-陆享19号集合资金信托计划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380,401,597.99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13.77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ZJQTT202311080001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336,313,036.78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12.17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XJCKX202306070001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建设银行深圳分行活期存款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9.41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泰康资产纯泰33号资产管理产品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209,501,603.03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ZJQTT202306010001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174,556,636.67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DQCKX202504100003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徽商银行定期存款20250410C</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ZJQTT202410140001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建信资管浦江安盈货币3号资产管理产品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101,090,182.63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DQCKX202508120002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上海银行定期存款20250812B</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DQCKX202508130023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中原银行定期存款20250813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DQCKX202507100022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上海银行定期存款20250710</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0101030000000861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南京银行南京分行南银理财鼎瑞悦稳最低持有7天2号</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产品投资关联方作为管理人的资产管理产品交易金额273,000,000.00元。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产品支付关联方托管费147,399.11元，支付关联方代销费535,580.83元。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