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xsi="http://www.w3.org/2001/XMLSchema-instance"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南银理财添瑞日日聚宝2号现金管理类公募人民币理财产品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6"/>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南银理财添瑞日日聚宝2号现金管理类公募人民币理财产品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Z7003223000067（投资者可依据该编码在中国理财网www.chinawealth.com.cn查询理财产品相关信息）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2023年04月04日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4,014,894,586.23份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中诚信托有限责任公司,华润深国投信托有限公司,陆家嘴国际信托有限公司,光大永明资产管理股份有限公司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6"/>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363,391,419.82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171,163,907.46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A21103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2,086,100,180.65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A21203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271,323,153.09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266,038,667.07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A24003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484,748,837.16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A26003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3,484,763.74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A27003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368,642,263.12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A28003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1,394.12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bl>
    <w:p>
      <w:pPr>
        <w:pStyle w:val="11"/>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7月雅江水电站项目开工，市场开始围绕“反内卷”开展交易，通缩逻辑动摇，权益及商品市场大涨；债市则在缺乏新的驱动力量的情况下，受股债跷跷板的影响行情走弱；公募基金受“费率新规”的影响负债端出现脉冲式赎回。央行连续超额续作MLF及买断式逆回购，重启14天逆回购，持续呵护货币市场，资金利率维持平稳。债市曲线走陡，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处于探底状态，政策对于地产的态度依然是托而不举，最新公布的社零、社融等数据较弱，内需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  操作方面，产品将继续在保证流动性安全、守住信用风险底线的基础上，灵活运用杠杆增厚收益，强化资产甄选和获取能力，为客户提供稳定的收益回报，持续提升客户体验。</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  下阶段产品将继续保持稳健的投资风格，做好流动性预判和资产到期分布安排，保持较高的流动性资产比例，防范流动性风险。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20003份额净值为1.0000元，A21003份额净值为1.0000元，A21103份额净值为1.0000元，A21203份额净值为1.0000元，A23003份额净值为1.0000元，A24003份额净值为1.0000元，A26003份额净值为1.0000元，A27003份额净值为1.0000元，A28003份额净值为1.0000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6"/>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6"/>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ZJQTT202309130003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华润信托鑫瑞日享3号集合资金信托计划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918,827,340.32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22.89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ZJQTT202406170001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290,872,645.29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华润信托鑫瑞日享1号集合资金信托计划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280,254,491.91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DQCKX202507110002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农业银行定期存款20250711B</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XJCKX202404150001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农业银行深圳分行活期存款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101,410,132.11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DQCKX202503040003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吉林银行定期存款20250304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DQCKX202503030004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杭州银行定期存款20250303B</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DQCKX202503030021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恒丰银行定期存款20250303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DQCKX202509190001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恒丰银行定期存款20250919</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DQCKX202502120002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徽商银行定期存款20250212B</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6"/>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6"/>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0120040000001123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南银理财添瑞日日聚宝2号</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产品支付关联方托管费154,087.58元，支付关联方代销费785,812.42元。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line="360" w:lineRule="auto"/>
        <w:jc w:val="center"/>
        <w:rPr>
          <w:rFonts w:hint="eastAsia" w:ascii="方正仿宋简体" w:eastAsia="方正仿宋简体"/>
          <w:b/>
          <w:sz w:val="24"/>
          <w:szCs w:val="24"/>
        </w:rPr>
      </w:pPr>
      <w:r>
        <w:rPr>
          <w:rFonts w:hint="eastAsia" w:ascii="方正仿宋简体" w:eastAsia="方正仿宋简体"/>
          <w:b/>
          <w:sz w:val="24"/>
          <w:szCs w:val="24"/>
        </w:rPr>
        <w:t>§7 现金管理类理财产品持有份额不低于20%投资者情况</w:t>
      </w:r>
    </w:p>
    <w:tbl>
      <w:tblPr>
        <w:tblStyle w:val="6"/>
        <w:tblW w:w="11280" w:type="dxa"/>
        <w:jc w:val="center"/>
        <w:tblInd w:w="-9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335"/>
        <w:gridCol w:w="1560"/>
        <w:gridCol w:w="1515"/>
        <w:gridCol w:w="1787"/>
        <w:gridCol w:w="1701"/>
        <w:gridCol w:w="1792"/>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hAnsi="Calibri" w:eastAsia="方正仿宋简体"/>
                <w:sz w:val="24"/>
                <w:szCs w:val="24"/>
                <w:shd w:val="clear" w:color="auto" w:fill="FFFFFF"/>
              </w:rPr>
              <w:t>序号</w:t>
            </w:r>
          </w:p>
        </w:tc>
        <w:tc>
          <w:tcPr>
            <w:tcW w:w="156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日期</w:t>
            </w:r>
          </w:p>
        </w:tc>
        <w:tc>
          <w:tcPr>
            <w:tcW w:w="1515"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投资者类别</w:t>
            </w:r>
          </w:p>
        </w:tc>
        <w:tc>
          <w:tcPr>
            <w:tcW w:w="1787"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持有份额</w:t>
            </w:r>
          </w:p>
        </w:tc>
        <w:tc>
          <w:tcPr>
            <w:tcW w:w="1701"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占总份额比例</w:t>
            </w:r>
          </w:p>
        </w:tc>
        <w:tc>
          <w:tcPr>
            <w:tcW w:w="1792" w:type="dxa"/>
            <w:vAlign w:val="center"/>
          </w:tcPr>
          <w:p>
            <w:pPr>
              <w:spacing w:beforeLines="20" w:afterLines="20"/>
              <w:jc w:val="center"/>
              <w:rPr>
                <w:rFonts w:ascii="方正仿宋简体" w:eastAsia="方正仿宋简体"/>
                <w:sz w:val="24"/>
                <w:szCs w:val="24"/>
              </w:rPr>
            </w:pPr>
            <w:r>
              <w:rPr>
                <w:rFonts w:ascii="方正仿宋简体" w:eastAsia="方正仿宋简体"/>
                <w:sz w:val="24"/>
                <w:szCs w:val="24"/>
              </w:rPr>
              <w:t>持有份额</w:t>
            </w:r>
          </w:p>
          <w:p>
            <w:pPr>
              <w:spacing w:beforeLines="20" w:afterLines="20"/>
              <w:jc w:val="center"/>
              <w:rPr>
                <w:rFonts w:ascii="方正仿宋简体" w:eastAsia="方正仿宋简体"/>
                <w:sz w:val="24"/>
                <w:szCs w:val="24"/>
                <w:shd w:val="clear" w:color="auto" w:fill="FFFFFF"/>
              </w:rPr>
            </w:pPr>
            <w:r>
              <w:rPr>
                <w:rFonts w:ascii="方正仿宋简体" w:eastAsia="方正仿宋简体"/>
                <w:sz w:val="24"/>
                <w:szCs w:val="24"/>
              </w:rPr>
              <w:t>变化情况</w:t>
            </w:r>
          </w:p>
        </w:tc>
        <w:tc>
          <w:tcPr>
            <w:tcW w:w="159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产品风险</w:t>
            </w:r>
          </w:p>
        </w:tc>
      </w:tr>
      <w:tr>
        <w:trPr xsi:nil="true"/>
        <w:tc>
          <w:tcPr>
            <w:tcW w:w="1335" w:type="dxa"/>
            <w:vAlign w:val="center"/>
            <w:vAlign w:val="center"/>
          </w:tcPr>
          <w:p>
            <w:pPr>
              <w:spacing w:before="240" w:line="360" w:lineRule="auto"/>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w:t>
            </w:r>
          </w:p>
        </w:tc>
        <w:tc>
          <w:tcPr>
            <w:tcW w:w="1560" w:type="dxa"/>
            <w:vAlign w:val="center"/>
            <w:vAlign w:val="center"/>
          </w:tcPr>
          <w:p>
            <w:pPr>
              <w:spacing w:before="240" w:line="360" w:lineRule="auto"/>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w:t>
            </w:r>
          </w:p>
        </w:tc>
        <w:tc>
          <w:tcPr>
            <w:tcW w:w="1515" w:type="dxa"/>
            <w:vAlign w:val="center"/>
            <w:vAlign w:val="center"/>
          </w:tcPr>
          <w:p>
            <w:pPr>
              <w:spacing w:before="240" w:line="360" w:lineRule="auto"/>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w:t>
            </w:r>
          </w:p>
        </w:tc>
        <w:tc>
          <w:tcPr>
            <w:tcW w:w="1787" w:type="dxa"/>
            <w:vAlign w:val="center"/>
            <w:vAlign w:val="center"/>
          </w:tcPr>
          <w:p>
            <w:pPr>
              <w:spacing w:before="240" w:line="360" w:lineRule="auto"/>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w:t>
            </w:r>
          </w:p>
        </w:tc>
        <w:tc>
          <w:tcPr>
            <w:tcW w:w="1701" w:type="dxa"/>
            <w:vAlign w:val="center"/>
            <w:vAlign w:val="center"/>
          </w:tcPr>
          <w:p>
            <w:pPr>
              <w:spacing w:before="240" w:line="360" w:lineRule="auto"/>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w:t>
            </w:r>
          </w:p>
        </w:tc>
        <w:tc>
          <w:tcPr>
            <w:tcW w:w="1792" w:type="dxa"/>
            <w:vAlign w:val="center"/>
            <w:vAlign w:val="center"/>
          </w:tcPr>
          <w:p>
            <w:pPr>
              <w:spacing w:before="240" w:line="360" w:lineRule="auto"/>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w:t>
            </w:r>
          </w:p>
        </w:tc>
        <w:tc>
          <w:tcPr>
            <w:tcW w:w="1590" w:type="dxa"/>
            <w:vAlign w:val="center"/>
            <w:vAlign w:val="center"/>
          </w:tcPr>
          <w:p>
            <w:pPr>
              <w:spacing w:before="240" w:line="360" w:lineRule="auto"/>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w:t>
            </w:r>
          </w:p>
        </w:tc>
      </w:tr>
    </w:tbl>
    <w:p>
      <w:pPr>
        <w:spacing w:before="240" w:after="72" w:line="360" w:lineRule="auto"/>
        <w:jc w:val="both"/>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spacing w:after="72"/>
      <w:rPr>
        <w:rStyle w:val="8"/>
      </w:rPr>
    </w:pPr>
    <w:r>
      <w:fldChar w:fldCharType="begin"/>
    </w:r>
    <w:r>
      <w:rPr>
        <w:rStyle w:val="8"/>
      </w:rPr>
      <w:instrText xml:space="preserve">PAGE  </w:instrText>
    </w:r>
    <w:r>
      <w:fldChar w:fldCharType="end"/>
    </w:r>
  </w:p>
  <w:p>
    <w:pPr>
      <w:pStyle w:val="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D66E2"/>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0362867"/>
    <w:rsid w:val="2651710C"/>
    <w:rsid w:val="2C5F4270"/>
    <w:rsid w:val="341F714B"/>
    <w:rsid w:val="4B0132D2"/>
    <w:rsid w:val="57DD4EC8"/>
    <w:rsid w:val="611546EB"/>
    <w:rsid w:val="6C686480"/>
    <w:rsid w:val="6DBF574D"/>
    <w:rsid w:val="73B04A1E"/>
    <w:rsid w:val="7A6723D9"/>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1"/>
    <w:pPr>
      <w:autoSpaceDE w:val="0"/>
      <w:autoSpaceDN w:val="0"/>
      <w:spacing w:afterLines="0"/>
      <w:jc w:val="left"/>
    </w:pPr>
    <w:rPr>
      <w:rFonts w:ascii="宋体" w:hAnsi="宋体" w:cs="宋体"/>
      <w:kern w:val="0"/>
      <w:szCs w:val="21"/>
      <w:lang w:val="zh-CN" w:bidi="zh-CN"/>
    </w:rPr>
  </w:style>
  <w:style w:type="paragraph" w:styleId="3">
    <w:name w:val="footer"/>
    <w:basedOn w:val="1"/>
    <w:link w:val="9"/>
    <w:unhideWhenUsed/>
    <w:qFormat/>
    <w:uiPriority w:val="99"/>
    <w:pPr>
      <w:tabs>
        <w:tab w:val="center" w:pos="4153"/>
        <w:tab w:val="right" w:pos="8306"/>
      </w:tabs>
      <w:snapToGrid w:val="0"/>
      <w:jc w:val="left"/>
    </w:pPr>
    <w:rPr>
      <w:rFonts w:eastAsiaTheme="minorEastAsia"/>
      <w:sz w:val="18"/>
      <w:szCs w:val="18"/>
    </w:rPr>
  </w:style>
  <w:style w:type="paragraph" w:styleId="4">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8">
    <w:name w:val="page number"/>
    <w:basedOn w:val="7"/>
    <w:unhideWhenUsed/>
    <w:qFormat/>
    <w:uiPriority w:val="99"/>
  </w:style>
  <w:style w:type="character" w:customStyle="1" w:styleId="9">
    <w:name w:val="页脚 Char"/>
    <w:link w:val="3"/>
    <w:qFormat/>
    <w:locked/>
    <w:uiPriority w:val="99"/>
    <w:rPr>
      <w:rFonts w:ascii="Times New Roman" w:hAnsi="Times New Roman" w:cs="Times New Roman"/>
      <w:sz w:val="18"/>
      <w:szCs w:val="18"/>
    </w:rPr>
  </w:style>
  <w:style w:type="character" w:customStyle="1" w:styleId="10">
    <w:name w:val="页脚 Char1"/>
    <w:basedOn w:val="7"/>
    <w:semiHidden/>
    <w:qFormat/>
    <w:uiPriority w:val="99"/>
    <w:rPr>
      <w:rFonts w:ascii="Times New Roman" w:hAnsi="Times New Roman" w:eastAsia="宋体" w:cs="Times New Roman"/>
      <w:sz w:val="18"/>
      <w:szCs w:val="18"/>
    </w:rPr>
  </w:style>
  <w:style w:type="paragraph" w:customStyle="1" w:styleId="11">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2">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3">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4">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5">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6">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7">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8">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0">
    <w:name w:val="页眉 Char"/>
    <w:basedOn w:val="7"/>
    <w:link w:val="4"/>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2025-09-04T00:54:25Z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