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苏银理财恒源月开放2号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苏银理财恒源月开放2号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2017年11月24日</w:t>
      </w:r>
      <w:r>
        <w:rPr>
          <w:rFonts w:ascii="楷体" w:eastAsia="楷体" w:hAnsi="楷体" w:cs="楷体" w:hint="eastAsia"/>
        </w:rPr>
        <w:t xml:space="preserve">成立，于</w:t>
      </w:r>
      <w:r>
        <w:rPr>
          <w:rFonts w:ascii="楷体" w:eastAsia="楷体" w:hAnsi="楷体" w:cs="楷体" w:hint="eastAsia"/>
          <w:spacing w:val="-7"/>
        </w:rPr>
        <w:t xml:space="preserve">2017年11月24日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苏银理财恒源月开放2号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Z7003120000002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11,928,287,882.99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16,175,306,084.19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31000188000328771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16,180,596,252.19</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苏银理财恒源月开放2号A1</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1.356228</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1.356228</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2.10%-3.10%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苏银理财恒源月开放2号A2</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1.354325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1.354325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苏银理财恒源月开放2号A3</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1.356249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1.356249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苏银理财恒源月开放2号A4</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1.356209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1.356209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苏银理财恒源月开放2号C1</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1.356388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1.356388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苏银理财恒源月开放2号C2</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1.357237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1.357237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苏银理财恒源月开放2号C3</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1.356390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1.356390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苏银理财恒源月开放2号C4</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1.356385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1.356385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苏银理财恒源月开放2号E1</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1.357027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1.357027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苏银理财恒源月开放2号E2</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1.363592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1.363592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苏银理财恒源月开放2号E3</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1.356944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1.356944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苏银理财恒源月开放2号E4</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1.357102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1.357102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苏银理财恒源月开放2号F1</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1.356226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1.356226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苏银理财恒源月开放2号F2</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1.354129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1.354129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苏银理财恒源月开放2号F3</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1.356269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1.356269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苏银理财恒源月开放2号F4</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1.356282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1.356282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苏银理财恒源月开放2号G1</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1.355510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1.355510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苏银理财恒源月开放2号G2</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1.355243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1.355243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苏银理财恒源月开放2号G3</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1.356376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1.356376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苏银理财恒源月开放2号G4</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1.355366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1.355366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苏银理财恒源月开放2号H1</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1.356298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1.356298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苏银理财恒源月开放2号H2</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1.356679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1.356679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苏银理财恒源月开放2号H3</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1.356242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1.356242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苏银理财恒源月开放2号H4</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1.356313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1.356313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苏银理财恒源月开放2号W1</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1.356198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1.356198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苏银理财恒源月开放2号W2</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1.356196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1.356196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苏银理财恒源月开放2号W3</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1.356583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1.356583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苏银理财恒源月开放2号W4</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1.356119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1.356119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苏银理财恒源月开放2号（代发专享1）</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1.356401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1.356401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苏银理财恒源月开放2号（代发专享2）</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1.355273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1.355273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苏银理财恒源月开放2号（代发专享3）</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1.356405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1.356405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苏银理财恒源月开放2号（代发专享4）</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1.356396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1.356396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2.15%-3.15%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58.27%</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40.42%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1.31%</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59.58%</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40.42%</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1,578,799,658.59</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9.66%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月开放2号农行CFETS存款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701,208,666.79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4.29%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工银泰享三年理财债券</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649,254,804.72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3.97%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396,431,728.93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南华瑞泰39个月定开A</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362,146,248.29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25交通银行CD159</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210,804,868.08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19农发08</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204,743,090.41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24洋旅02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203,223,013.70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25农发21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200,798,452.05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25农业银行CD183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199,281,822.97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1.22%</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81,028,216.00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东吴证券股份有限公司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70,000,070.00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874,453.38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2,999,652.37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35,508.94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831,790,251.06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564,254.42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189,208,722.04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86.74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11,928,287,882.99</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13,033,643,251.99</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在精选信用、适度杠杆的基础上，保持较好的静态收益水平和抗波动能力。同时，加强市场研判，抓取确定性较高的市场机会，适度配置流动性好的交易性品种，获取市场红利以增厚产品收益。本产品持仓资产以标准化债权类资产为主，变现能力较强，同时注重资产组合管理，流动性处于合理充裕水平。</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未来，根据市场动态变化，控制组合久期处于合理区间。资产配置上兼顾安全性、流动性和收益性，坚守风险合规底线，强化投资研究，紧密跟踪市场，致力于为广大投资者创造长期稳健的投资回报。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本产品主要配置优质标准化债权类资产，变现能力较强，通过资负久期管理、杠杆规模管理、流动性指标监测等多项措施持续加强流动性管理，有效控制产品的流动性风险。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37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37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37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37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2025-10-21T10:56:54Z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